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4" w:type="dxa"/>
        <w:tblInd w:w="-1026" w:type="dxa"/>
        <w:tblLook w:val="04A0" w:firstRow="1" w:lastRow="0" w:firstColumn="1" w:lastColumn="0" w:noHBand="0" w:noVBand="1"/>
      </w:tblPr>
      <w:tblGrid>
        <w:gridCol w:w="7088"/>
        <w:gridCol w:w="1300"/>
        <w:gridCol w:w="1300"/>
        <w:gridCol w:w="1186"/>
      </w:tblGrid>
      <w:tr w:rsidR="001946F2" w:rsidRPr="001946F2" w:rsidTr="001946F2">
        <w:trPr>
          <w:trHeight w:val="110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Доля обращений за получением услуг в электронном </w:t>
            </w:r>
            <w:proofErr w:type="gramStart"/>
            <w:r w:rsidRPr="001946F2">
              <w:rPr>
                <w:rFonts w:ascii="Calibri" w:eastAsia="Times New Roman" w:hAnsi="Calibri" w:cs="Times New Roman"/>
                <w:b/>
                <w:bCs/>
                <w:lang w:eastAsia="ru-RU"/>
              </w:rPr>
              <w:t>виде</w:t>
            </w:r>
            <w:proofErr w:type="gramEnd"/>
            <w:r w:rsidRPr="001946F2">
              <w:rPr>
                <w:rFonts w:ascii="Calibri" w:eastAsia="Times New Roman" w:hAnsi="Calibri" w:cs="Times New Roman"/>
                <w:b/>
                <w:bCs/>
                <w:lang w:eastAsia="ru-RU"/>
              </w:rPr>
              <w:t>, в общем количестве таких услуг Апрель 2023г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Общее количество обращений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Количество обращений в эл. </w:t>
            </w:r>
            <w:proofErr w:type="gramStart"/>
            <w:r w:rsidRPr="001946F2">
              <w:rPr>
                <w:rFonts w:ascii="Calibri" w:eastAsia="Times New Roman" w:hAnsi="Calibri" w:cs="Times New Roman"/>
                <w:lang w:eastAsia="ru-RU"/>
              </w:rPr>
              <w:t>виде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%</w:t>
            </w:r>
          </w:p>
        </w:tc>
      </w:tr>
      <w:tr w:rsidR="001946F2" w:rsidRPr="001946F2" w:rsidTr="001946F2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96,2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93,0</w:t>
            </w:r>
          </w:p>
        </w:tc>
      </w:tr>
      <w:tr w:rsidR="001946F2" w:rsidRPr="001946F2" w:rsidTr="001946F2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1946F2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82,4</w:t>
            </w:r>
          </w:p>
        </w:tc>
      </w:tr>
      <w:tr w:rsidR="001946F2" w:rsidRPr="001946F2" w:rsidTr="001946F2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74,6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74,5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73,0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72,0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71,8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68,1</w:t>
            </w:r>
          </w:p>
        </w:tc>
      </w:tr>
      <w:tr w:rsidR="001946F2" w:rsidRPr="001946F2" w:rsidTr="001946F2">
        <w:trPr>
          <w:trHeight w:val="70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67,7</w:t>
            </w:r>
          </w:p>
        </w:tc>
      </w:tr>
      <w:tr w:rsidR="001946F2" w:rsidRPr="001946F2" w:rsidTr="001946F2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1861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60,1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57,0</w:t>
            </w:r>
          </w:p>
        </w:tc>
      </w:tr>
      <w:tr w:rsidR="001946F2" w:rsidRPr="001946F2" w:rsidTr="001946F2">
        <w:trPr>
          <w:trHeight w:val="70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54,0</w:t>
            </w:r>
          </w:p>
        </w:tc>
      </w:tr>
      <w:tr w:rsidR="001946F2" w:rsidRPr="001946F2" w:rsidTr="001946F2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44,2</w:t>
            </w:r>
          </w:p>
        </w:tc>
      </w:tr>
      <w:tr w:rsidR="001946F2" w:rsidRPr="001946F2" w:rsidTr="001946F2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37,7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34,0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24,0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23,1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16,7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15,6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10,2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6,5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</w:tr>
      <w:tr w:rsidR="001946F2" w:rsidRPr="001946F2" w:rsidTr="001946F2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2,4</w:t>
            </w:r>
          </w:p>
        </w:tc>
      </w:tr>
      <w:tr w:rsidR="001946F2" w:rsidRPr="001946F2" w:rsidTr="001946F2">
        <w:trPr>
          <w:trHeight w:val="120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1946F2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не заполнен отчет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1946F2" w:rsidRPr="001946F2" w:rsidTr="001946F2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46F2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1946F2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не заполнен отчет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946F2" w:rsidRPr="001946F2" w:rsidRDefault="001946F2" w:rsidP="001946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46F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1355C0" w:rsidRPr="001946F2" w:rsidRDefault="001946F2" w:rsidP="001946F2">
      <w:pPr>
        <w:spacing w:line="240" w:lineRule="auto"/>
      </w:pPr>
    </w:p>
    <w:sectPr w:rsidR="001355C0" w:rsidRPr="001946F2" w:rsidSect="001946F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0B"/>
    <w:rsid w:val="001946F2"/>
    <w:rsid w:val="006C48A9"/>
    <w:rsid w:val="00764B9E"/>
    <w:rsid w:val="0081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2023-04-28T13:02:00Z</dcterms:created>
  <dcterms:modified xsi:type="dcterms:W3CDTF">2023-04-28T13:04:00Z</dcterms:modified>
</cp:coreProperties>
</file>