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C0" w:rsidRDefault="003C06C0" w:rsidP="005C3BA7">
      <w:pPr>
        <w:ind w:firstLine="0"/>
        <w:jc w:val="center"/>
        <w:rPr>
          <w:b/>
        </w:rPr>
      </w:pPr>
      <w:bookmarkStart w:id="0" w:name="_GoBack"/>
      <w:bookmarkEnd w:id="0"/>
    </w:p>
    <w:p w:rsidR="003C06C0" w:rsidRDefault="003C06C0" w:rsidP="005C3BA7">
      <w:pPr>
        <w:ind w:firstLine="0"/>
        <w:jc w:val="center"/>
        <w:rPr>
          <w:b/>
        </w:rPr>
      </w:pPr>
    </w:p>
    <w:p w:rsidR="003C06C0" w:rsidRDefault="003C06C0" w:rsidP="005C3BA7">
      <w:pPr>
        <w:ind w:firstLine="0"/>
        <w:jc w:val="center"/>
        <w:rPr>
          <w:b/>
        </w:rPr>
      </w:pPr>
    </w:p>
    <w:p w:rsidR="003C06C0" w:rsidRDefault="003C06C0" w:rsidP="005C3BA7">
      <w:pPr>
        <w:ind w:firstLine="0"/>
        <w:jc w:val="center"/>
        <w:rPr>
          <w:b/>
        </w:rPr>
      </w:pPr>
    </w:p>
    <w:p w:rsidR="003C06C0" w:rsidRDefault="003C06C0" w:rsidP="005C3BA7">
      <w:pPr>
        <w:ind w:firstLine="0"/>
        <w:jc w:val="center"/>
        <w:rPr>
          <w:b/>
        </w:rPr>
      </w:pPr>
    </w:p>
    <w:p w:rsidR="003C06C0" w:rsidRDefault="003C06C0" w:rsidP="005C3BA7">
      <w:pPr>
        <w:ind w:firstLine="0"/>
        <w:jc w:val="center"/>
        <w:rPr>
          <w:b/>
        </w:rPr>
      </w:pPr>
    </w:p>
    <w:p w:rsidR="003C06C0" w:rsidRDefault="003C06C0" w:rsidP="005C3BA7">
      <w:pPr>
        <w:ind w:firstLine="0"/>
        <w:jc w:val="center"/>
        <w:rPr>
          <w:b/>
        </w:rPr>
      </w:pPr>
    </w:p>
    <w:p w:rsidR="003C06C0" w:rsidRDefault="003C06C0" w:rsidP="005C3BA7">
      <w:pPr>
        <w:ind w:firstLine="0"/>
        <w:jc w:val="center"/>
        <w:rPr>
          <w:b/>
        </w:rPr>
      </w:pPr>
    </w:p>
    <w:p w:rsidR="00D448F2" w:rsidRPr="00B11DD0" w:rsidRDefault="00052A86" w:rsidP="005C3BA7">
      <w:pPr>
        <w:ind w:firstLine="0"/>
        <w:jc w:val="center"/>
        <w:rPr>
          <w:b/>
        </w:rPr>
      </w:pPr>
      <w:r>
        <w:rPr>
          <w:b/>
        </w:rPr>
        <w:t>Методика</w:t>
      </w:r>
      <w:r w:rsidR="007958A2" w:rsidRPr="007958A2">
        <w:rPr>
          <w:b/>
        </w:rPr>
        <w:t xml:space="preserve"> </w:t>
      </w:r>
      <w:r w:rsidR="00CE2F18" w:rsidRPr="00CE2F18">
        <w:rPr>
          <w:b/>
        </w:rPr>
        <w:t xml:space="preserve">расчета рейтинга субъектов Российской Федерации, отражающего взаимодействие с </w:t>
      </w:r>
      <w:r w:rsidR="00CE2F18" w:rsidRPr="007958A2">
        <w:rPr>
          <w:b/>
        </w:rPr>
        <w:t>Государственной информационной системой о государственных и муниципальных платежах</w:t>
      </w:r>
      <w:r w:rsidR="00CE2F18" w:rsidRPr="00416396">
        <w:rPr>
          <w:b/>
        </w:rPr>
        <w:t xml:space="preserve"> </w:t>
      </w:r>
      <w:r w:rsidR="00CE2F18">
        <w:rPr>
          <w:b/>
        </w:rPr>
        <w:t>(ГИС ГМП)</w:t>
      </w:r>
      <w:r w:rsidR="00CE2F18" w:rsidRPr="00CE2F18">
        <w:rPr>
          <w:b/>
        </w:rPr>
        <w:t xml:space="preserve"> государственных органов исполнительной власти субъектов Российской Федерации, органов местного самоуправления, государственных и муниципальных казенных учреждений</w:t>
      </w:r>
      <w:r w:rsidR="007958A2" w:rsidRPr="007958A2">
        <w:rPr>
          <w:b/>
        </w:rPr>
        <w:t xml:space="preserve"> </w:t>
      </w:r>
    </w:p>
    <w:p w:rsidR="00D448F2" w:rsidRDefault="00D448F2"/>
    <w:p w:rsidR="00D448F2" w:rsidRPr="00D448F2" w:rsidRDefault="009D7ED1" w:rsidP="000A0ED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spacing w:line="240" w:lineRule="auto"/>
        <w:ind w:firstLine="0"/>
        <w:jc w:val="center"/>
        <w:outlineLvl w:val="0"/>
        <w:rPr>
          <w:b/>
        </w:rPr>
      </w:pPr>
      <w:r>
        <w:rPr>
          <w:b/>
        </w:rPr>
        <w:t>1</w:t>
      </w:r>
      <w:r w:rsidR="00D448F2" w:rsidRPr="00D448F2">
        <w:rPr>
          <w:b/>
        </w:rPr>
        <w:t>.</w:t>
      </w:r>
      <w:r w:rsidR="00D448F2" w:rsidRPr="00D448F2">
        <w:rPr>
          <w:b/>
        </w:rPr>
        <w:tab/>
        <w:t>Основные положения</w:t>
      </w:r>
    </w:p>
    <w:p w:rsidR="00D448F2" w:rsidRPr="00D448F2" w:rsidRDefault="00D448F2">
      <w:pPr>
        <w:rPr>
          <w:b/>
        </w:rPr>
      </w:pPr>
    </w:p>
    <w:p w:rsidR="00D448F2" w:rsidRDefault="009D7ED1" w:rsidP="00D448F2">
      <w:pPr>
        <w:jc w:val="both"/>
      </w:pPr>
      <w:r>
        <w:t>1</w:t>
      </w:r>
      <w:r w:rsidR="00D448F2">
        <w:t>.1.</w:t>
      </w:r>
      <w:r w:rsidR="00CC7D8A">
        <w:t> </w:t>
      </w:r>
      <w:r w:rsidR="00D448F2">
        <w:t>В соответствии со статьей 160.1 Бюджетного кодекса Российской Федерации администратор</w:t>
      </w:r>
      <w:r w:rsidR="003A7628">
        <w:t>ы</w:t>
      </w:r>
      <w:r w:rsidR="00D448F2">
        <w:t xml:space="preserve"> доходов бюджета </w:t>
      </w:r>
      <w:r w:rsidR="003A7628">
        <w:t xml:space="preserve">наделены полномочием </w:t>
      </w:r>
      <w:r w:rsidR="00D448F2">
        <w:t xml:space="preserve">по предоставлению </w:t>
      </w:r>
      <w:r w:rsidR="000A0EDA">
        <w:t>информации</w:t>
      </w:r>
      <w:r w:rsidR="00D448F2">
        <w:t>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ГИС ГМП.</w:t>
      </w:r>
    </w:p>
    <w:p w:rsidR="00676F23" w:rsidRDefault="009D7ED1" w:rsidP="00D448F2">
      <w:pPr>
        <w:jc w:val="both"/>
      </w:pPr>
      <w:r>
        <w:t>1</w:t>
      </w:r>
      <w:r w:rsidR="00D448F2">
        <w:t>.</w:t>
      </w:r>
      <w:r w:rsidR="009663D9">
        <w:t>2</w:t>
      </w:r>
      <w:r w:rsidR="00D448F2">
        <w:t>.</w:t>
      </w:r>
      <w:r w:rsidR="00CC7D8A">
        <w:t> </w:t>
      </w:r>
      <w:r w:rsidR="00D448F2">
        <w:t xml:space="preserve">В </w:t>
      </w:r>
      <w:r w:rsidR="00676F23">
        <w:t xml:space="preserve">соответствии с пунктом </w:t>
      </w:r>
      <w:r>
        <w:t>3</w:t>
      </w:r>
      <w:r w:rsidR="00676F23" w:rsidRPr="00676F23">
        <w:t xml:space="preserve">.2. </w:t>
      </w:r>
      <w:r w:rsidR="003A7628">
        <w:t xml:space="preserve">Порядка </w:t>
      </w:r>
      <w:r w:rsidR="00676F23" w:rsidRPr="00676F23">
        <w:t>ведения Государственной информационной системы о государственных и муниципальных платежах</w:t>
      </w:r>
      <w:r w:rsidR="00676F23">
        <w:t>, утвержденного</w:t>
      </w:r>
      <w:r w:rsidR="00676F23" w:rsidRPr="00676F23">
        <w:t xml:space="preserve"> </w:t>
      </w:r>
      <w:r w:rsidR="00676F23">
        <w:t>п</w:t>
      </w:r>
      <w:r w:rsidR="00676F23" w:rsidRPr="00676F23">
        <w:t>риказ</w:t>
      </w:r>
      <w:r w:rsidR="00676F23">
        <w:t>ом</w:t>
      </w:r>
      <w:r w:rsidR="00676F23" w:rsidRPr="00676F23">
        <w:t xml:space="preserve"> </w:t>
      </w:r>
      <w:r w:rsidR="00676F23">
        <w:t>Федерального казначейства</w:t>
      </w:r>
      <w:r w:rsidR="00676F23" w:rsidRPr="00676F23">
        <w:t xml:space="preserve"> от 12.05.2017 </w:t>
      </w:r>
      <w:r w:rsidR="00676F23">
        <w:t>№ </w:t>
      </w:r>
      <w:r w:rsidR="00676F23" w:rsidRPr="00676F23">
        <w:t>11н</w:t>
      </w:r>
      <w:r w:rsidR="00676F23">
        <w:t>,</w:t>
      </w:r>
      <w:r w:rsidR="00676F23" w:rsidRPr="00676F23">
        <w:t xml:space="preserve"> </w:t>
      </w:r>
      <w:r w:rsidR="00676F23">
        <w:t>и</w:t>
      </w:r>
      <w:r w:rsidR="00676F23" w:rsidRPr="00676F23">
        <w:t>звещени</w:t>
      </w:r>
      <w:r w:rsidR="00676F23">
        <w:t>я</w:t>
      </w:r>
      <w:r w:rsidR="00676F23" w:rsidRPr="00676F23">
        <w:t xml:space="preserve"> о начислении предоставляются </w:t>
      </w:r>
      <w:r w:rsidR="003A7628">
        <w:t>у</w:t>
      </w:r>
      <w:r w:rsidR="00676F23" w:rsidRPr="00676F23">
        <w:t>частник</w:t>
      </w:r>
      <w:r w:rsidR="00676F23">
        <w:t>ом</w:t>
      </w:r>
      <w:r w:rsidR="00676F23" w:rsidRPr="00676F23">
        <w:t xml:space="preserve"> в срок, установленный законодательством Российской Федерации, после начисления суммы денежных средств</w:t>
      </w:r>
      <w:r w:rsidR="00676F23">
        <w:t xml:space="preserve"> подлежащих уплате.</w:t>
      </w:r>
    </w:p>
    <w:p w:rsidR="00D448F2" w:rsidRDefault="009D7ED1" w:rsidP="00D448F2">
      <w:pPr>
        <w:jc w:val="both"/>
      </w:pPr>
      <w:r>
        <w:t>1</w:t>
      </w:r>
      <w:r w:rsidR="00D448F2">
        <w:t>.</w:t>
      </w:r>
      <w:r w:rsidR="005C3BA7">
        <w:t>3</w:t>
      </w:r>
      <w:r w:rsidR="00D448F2">
        <w:t>.</w:t>
      </w:r>
      <w:r w:rsidR="00CC7D8A">
        <w:t> </w:t>
      </w:r>
      <w:r w:rsidR="00D448F2">
        <w:t>Настоящ</w:t>
      </w:r>
      <w:r w:rsidR="007958A2">
        <w:t>ая</w:t>
      </w:r>
      <w:r w:rsidR="00D448F2">
        <w:t xml:space="preserve"> </w:t>
      </w:r>
      <w:r w:rsidR="003A7628">
        <w:t>м</w:t>
      </w:r>
      <w:r w:rsidR="007958A2">
        <w:t>етодика</w:t>
      </w:r>
      <w:r w:rsidR="00F73B9A">
        <w:t xml:space="preserve"> </w:t>
      </w:r>
      <w:r w:rsidR="00D448F2">
        <w:t>разработан</w:t>
      </w:r>
      <w:r w:rsidR="007958A2">
        <w:t>а</w:t>
      </w:r>
      <w:r w:rsidR="00D448F2">
        <w:t xml:space="preserve"> в </w:t>
      </w:r>
      <w:proofErr w:type="gramStart"/>
      <w:r w:rsidR="00D448F2">
        <w:t>целях</w:t>
      </w:r>
      <w:proofErr w:type="gramEnd"/>
      <w:r w:rsidR="00D448F2">
        <w:t xml:space="preserve"> обеспечения взаимодействия </w:t>
      </w:r>
      <w:r w:rsidR="00676F23">
        <w:t xml:space="preserve">с ГИС ГМП </w:t>
      </w:r>
      <w:r w:rsidR="003A7628" w:rsidRPr="003A7628">
        <w:t>администраторов доходов бюджета</w:t>
      </w:r>
      <w:r w:rsidR="00676F23">
        <w:t>,</w:t>
      </w:r>
      <w:r w:rsidR="00676F23" w:rsidRPr="00676F23">
        <w:t xml:space="preserve"> </w:t>
      </w:r>
      <w:r w:rsidR="00676F23">
        <w:t>указан</w:t>
      </w:r>
      <w:r w:rsidR="003A7628">
        <w:t xml:space="preserve">ных </w:t>
      </w:r>
      <w:r w:rsidR="00676F23">
        <w:t>в пункт</w:t>
      </w:r>
      <w:r w:rsidR="00F73B9A">
        <w:t>е</w:t>
      </w:r>
      <w:r w:rsidR="00676F23">
        <w:t xml:space="preserve"> </w:t>
      </w:r>
      <w:r>
        <w:t>1</w:t>
      </w:r>
      <w:r w:rsidR="00676F23">
        <w:t>.1 настояще</w:t>
      </w:r>
      <w:r w:rsidR="007958A2">
        <w:t>й</w:t>
      </w:r>
      <w:r w:rsidR="00676F23">
        <w:t xml:space="preserve"> </w:t>
      </w:r>
      <w:r w:rsidR="003A7628">
        <w:t>м</w:t>
      </w:r>
      <w:r w:rsidR="007958A2">
        <w:t>етодики</w:t>
      </w:r>
      <w:r w:rsidR="003A7628">
        <w:t xml:space="preserve"> (далее </w:t>
      </w:r>
      <w:r w:rsidR="008D490F">
        <w:t>–</w:t>
      </w:r>
      <w:r w:rsidR="003A7628">
        <w:t xml:space="preserve"> участники)</w:t>
      </w:r>
      <w:r w:rsidR="00676F23">
        <w:t>.</w:t>
      </w:r>
    </w:p>
    <w:p w:rsidR="000E4A52" w:rsidRDefault="009D7ED1">
      <w:pPr>
        <w:jc w:val="both"/>
      </w:pPr>
      <w:r>
        <w:t>1</w:t>
      </w:r>
      <w:r w:rsidR="00D448F2">
        <w:t>.</w:t>
      </w:r>
      <w:r w:rsidR="005C3BA7">
        <w:t>4</w:t>
      </w:r>
      <w:r w:rsidR="00D448F2">
        <w:t>.</w:t>
      </w:r>
      <w:r w:rsidR="00CC7D8A">
        <w:t> </w:t>
      </w:r>
      <w:r w:rsidR="003A7628">
        <w:t>Р</w:t>
      </w:r>
      <w:r w:rsidR="000E4A52" w:rsidRPr="000E4A52">
        <w:t xml:space="preserve">ейтинг </w:t>
      </w:r>
      <w:r w:rsidR="003A7628" w:rsidRPr="003A7628">
        <w:t>субъектов Российской Федерации</w:t>
      </w:r>
      <w:r w:rsidR="000E4A52">
        <w:t>, формируе</w:t>
      </w:r>
      <w:r w:rsidR="003A7628">
        <w:t>тся</w:t>
      </w:r>
      <w:r w:rsidR="000E4A52">
        <w:t xml:space="preserve"> </w:t>
      </w:r>
      <w:r w:rsidR="003A7628">
        <w:br/>
      </w:r>
      <w:r w:rsidR="00997BCF">
        <w:t>в автоматическом режиме средствами ГИС</w:t>
      </w:r>
      <w:r w:rsidR="003A7628">
        <w:t> </w:t>
      </w:r>
      <w:r w:rsidR="00997BCF">
        <w:t>ГМП</w:t>
      </w:r>
      <w:r w:rsidR="000E4A52">
        <w:t>.</w:t>
      </w:r>
      <w:r w:rsidR="003A7628">
        <w:t xml:space="preserve"> </w:t>
      </w:r>
      <w:r w:rsidR="000E4A52">
        <w:t>Целевым значением является обеспечение предоставлени</w:t>
      </w:r>
      <w:r w:rsidR="00D26649">
        <w:t xml:space="preserve">я </w:t>
      </w:r>
      <w:r w:rsidR="003A7628">
        <w:t>у</w:t>
      </w:r>
      <w:r w:rsidR="00052A86">
        <w:t xml:space="preserve">частниками </w:t>
      </w:r>
      <w:r w:rsidR="00936AC6">
        <w:t xml:space="preserve">более </w:t>
      </w:r>
      <w:r>
        <w:t>7</w:t>
      </w:r>
      <w:r w:rsidR="00936AC6">
        <w:t xml:space="preserve">0% </w:t>
      </w:r>
      <w:r w:rsidR="00936AC6" w:rsidRPr="00936AC6">
        <w:t>извещений о начислени</w:t>
      </w:r>
      <w:r w:rsidR="003A7628">
        <w:t>и</w:t>
      </w:r>
      <w:r w:rsidR="000E4A52">
        <w:t xml:space="preserve"> в ГИС ГМП</w:t>
      </w:r>
      <w:r w:rsidR="001A6294">
        <w:t>.</w:t>
      </w:r>
    </w:p>
    <w:p w:rsidR="00936AC6" w:rsidRDefault="00936AC6">
      <w:pPr>
        <w:jc w:val="both"/>
      </w:pPr>
    </w:p>
    <w:p w:rsidR="000E4A52" w:rsidRPr="000E4A52" w:rsidRDefault="009D7ED1" w:rsidP="000A0ED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spacing w:line="240" w:lineRule="auto"/>
        <w:ind w:firstLine="0"/>
        <w:jc w:val="center"/>
        <w:outlineLvl w:val="0"/>
        <w:rPr>
          <w:b/>
        </w:rPr>
      </w:pPr>
      <w:r>
        <w:rPr>
          <w:b/>
        </w:rPr>
        <w:lastRenderedPageBreak/>
        <w:t>2</w:t>
      </w:r>
      <w:r w:rsidR="000E4A52" w:rsidRPr="000E4A52">
        <w:rPr>
          <w:b/>
        </w:rPr>
        <w:t>.</w:t>
      </w:r>
      <w:r w:rsidR="000E4A52" w:rsidRPr="000E4A52">
        <w:rPr>
          <w:b/>
        </w:rPr>
        <w:tab/>
        <w:t xml:space="preserve">Описание </w:t>
      </w:r>
      <w:r w:rsidR="00CC7D8A">
        <w:rPr>
          <w:b/>
        </w:rPr>
        <w:t xml:space="preserve">методики </w:t>
      </w:r>
      <w:r w:rsidR="000E09EC">
        <w:rPr>
          <w:b/>
        </w:rPr>
        <w:t>расчета р</w:t>
      </w:r>
      <w:r w:rsidR="00CC7D8A">
        <w:rPr>
          <w:b/>
        </w:rPr>
        <w:t>ейтинга</w:t>
      </w:r>
    </w:p>
    <w:p w:rsidR="000E4A52" w:rsidRDefault="000E4A52" w:rsidP="000E4A52">
      <w:pPr>
        <w:jc w:val="both"/>
      </w:pPr>
    </w:p>
    <w:p w:rsidR="001A357C" w:rsidRDefault="009D7ED1" w:rsidP="00052A86">
      <w:pPr>
        <w:jc w:val="both"/>
      </w:pPr>
      <w:r>
        <w:t>2</w:t>
      </w:r>
      <w:r w:rsidR="000E4A52">
        <w:t>.</w:t>
      </w:r>
      <w:r w:rsidR="000E09EC">
        <w:t>1</w:t>
      </w:r>
      <w:r w:rsidR="000E4A52">
        <w:t>.</w:t>
      </w:r>
      <w:r w:rsidR="00CC7D8A">
        <w:t> </w:t>
      </w:r>
      <w:r w:rsidR="003A7628">
        <w:t>Р</w:t>
      </w:r>
      <w:r w:rsidR="003A7628" w:rsidRPr="003A7628">
        <w:t xml:space="preserve">ейтинг субъектов Российской Федерации </w:t>
      </w:r>
      <w:r w:rsidR="003A7628">
        <w:t>осуществляется</w:t>
      </w:r>
      <w:r w:rsidR="00632EE6">
        <w:t xml:space="preserve"> </w:t>
      </w:r>
      <w:r w:rsidR="003A7628">
        <w:br/>
      </w:r>
      <w:r w:rsidR="000E4A52">
        <w:t>на основе сводн</w:t>
      </w:r>
      <w:r w:rsidR="00052A86">
        <w:t>ого</w:t>
      </w:r>
      <w:r w:rsidR="000E4A52">
        <w:t xml:space="preserve"> индекс</w:t>
      </w:r>
      <w:r w:rsidR="00052A86">
        <w:t xml:space="preserve">а взаимодействия, </w:t>
      </w:r>
      <w:r w:rsidR="00801254" w:rsidRPr="00801254">
        <w:t>формируем</w:t>
      </w:r>
      <w:r w:rsidR="00052A86">
        <w:t>ого</w:t>
      </w:r>
      <w:r w:rsidR="00801254" w:rsidRPr="00801254">
        <w:t xml:space="preserve"> по </w:t>
      </w:r>
      <w:r w:rsidR="00801254" w:rsidRPr="0040028E">
        <w:t>перечню участников</w:t>
      </w:r>
      <w:r w:rsidR="003A7628">
        <w:t>,</w:t>
      </w:r>
      <w:r w:rsidR="00801254" w:rsidRPr="0040028E">
        <w:t xml:space="preserve"> зарегистрированных </w:t>
      </w:r>
      <w:r w:rsidR="00801254" w:rsidRPr="00801254">
        <w:t>в ГИС</w:t>
      </w:r>
      <w:r w:rsidR="00052A86">
        <w:t> </w:t>
      </w:r>
      <w:r w:rsidR="00801254" w:rsidRPr="00801254">
        <w:t>ГМП</w:t>
      </w:r>
      <w:r w:rsidR="00DF54AB" w:rsidRPr="00DF54AB">
        <w:t>:</w:t>
      </w:r>
    </w:p>
    <w:p w:rsidR="00DF54AB" w:rsidRPr="00DF54AB" w:rsidRDefault="00DF54AB" w:rsidP="00DF54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spacing w:before="240" w:after="240"/>
        <w:ind w:left="357" w:firstLine="0"/>
        <w:jc w:val="center"/>
        <w:rPr>
          <w:rFonts w:eastAsia="Times New Roman"/>
          <w:bCs/>
          <w:i/>
          <w:sz w:val="24"/>
          <w:szCs w:val="24"/>
          <w:lang w:eastAsia="ru-RU"/>
        </w:rPr>
      </w:pPr>
      <w:proofErr w:type="gramStart"/>
      <w:r w:rsidRPr="00DF54AB">
        <w:rPr>
          <w:rFonts w:eastAsia="Times New Roman"/>
          <w:bCs/>
          <w:i/>
          <w:sz w:val="32"/>
          <w:szCs w:val="24"/>
          <w:lang w:val="en-US" w:eastAsia="ru-RU"/>
        </w:rPr>
        <w:t>I</w:t>
      </w:r>
      <w:r>
        <w:rPr>
          <w:rFonts w:eastAsia="Times New Roman"/>
          <w:bCs/>
          <w:i/>
          <w:sz w:val="32"/>
          <w:szCs w:val="24"/>
          <w:vertAlign w:val="subscript"/>
          <w:lang w:val="en-US" w:eastAsia="ru-RU"/>
        </w:rPr>
        <w:t>v</w:t>
      </w:r>
      <w:proofErr w:type="gramEnd"/>
      <w:r w:rsidRPr="00DF54AB">
        <w:rPr>
          <w:rFonts w:eastAsia="Times New Roman"/>
          <w:bCs/>
          <w:i/>
          <w:sz w:val="32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bCs/>
                <w:i/>
                <w:sz w:val="32"/>
                <w:szCs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32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2"/>
                    <w:szCs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sz w:val="32"/>
                    <w:szCs w:val="24"/>
                    <w:lang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32"/>
                <w:szCs w:val="24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32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2"/>
                    <w:szCs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sz w:val="32"/>
                    <w:szCs w:val="24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/>
                <w:sz w:val="32"/>
                <w:szCs w:val="24"/>
                <w:lang w:eastAsia="ru-RU"/>
              </w:rPr>
              <m:t>+...+</m:t>
            </m:r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32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2"/>
                    <w:szCs w:val="24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sz w:val="32"/>
                    <w:szCs w:val="24"/>
                    <w:lang w:eastAsia="ru-RU"/>
                  </w:rPr>
                  <m:t>n</m:t>
                </m:r>
              </m:sub>
            </m:sSub>
            <m:r>
              <w:rPr>
                <w:rFonts w:ascii="Cambria Math" w:eastAsia="Times New Roman" w:hAnsi="Cambria Math"/>
                <w:sz w:val="32"/>
                <w:szCs w:val="24"/>
                <w:lang w:eastAsia="ru-RU"/>
              </w:rPr>
              <m:t xml:space="preserve"> </m:t>
            </m:r>
          </m:num>
          <m:den>
            <m:r>
              <w:rPr>
                <w:rFonts w:ascii="Cambria Math" w:eastAsia="Times New Roman" w:hAnsi="Cambria Math"/>
                <w:sz w:val="32"/>
                <w:szCs w:val="24"/>
                <w:lang w:eastAsia="ru-RU"/>
              </w:rPr>
              <m:t>n</m:t>
            </m:r>
          </m:den>
        </m:f>
      </m:oMath>
      <w:r w:rsidR="00C53944" w:rsidRPr="00C53944">
        <w:rPr>
          <w:rFonts w:eastAsia="Times New Roman"/>
          <w:bCs/>
          <w:i/>
          <w:szCs w:val="24"/>
          <w:lang w:eastAsia="ru-RU"/>
        </w:rPr>
        <w:t>*100%</w:t>
      </w:r>
    </w:p>
    <w:p w:rsidR="00DF54AB" w:rsidRPr="00DF54AB" w:rsidRDefault="00DF54AB" w:rsidP="00DF54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0"/>
        <w:jc w:val="both"/>
        <w:rPr>
          <w:rFonts w:eastAsia="Times New Roman"/>
          <w:bCs/>
          <w:lang w:eastAsia="ru-RU"/>
        </w:rPr>
      </w:pPr>
      <w:r w:rsidRPr="00DF54AB">
        <w:rPr>
          <w:rFonts w:eastAsia="Times New Roman"/>
          <w:bCs/>
          <w:lang w:eastAsia="ru-RU"/>
        </w:rPr>
        <w:t>где:</w:t>
      </w:r>
    </w:p>
    <w:p w:rsidR="00DF54AB" w:rsidRPr="00DF54AB" w:rsidRDefault="00DF54AB" w:rsidP="00DF54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0"/>
        <w:jc w:val="both"/>
        <w:rPr>
          <w:rFonts w:eastAsia="Times New Roman"/>
          <w:bCs/>
          <w:lang w:eastAsia="ru-RU"/>
        </w:rPr>
      </w:pPr>
      <w:proofErr w:type="spellStart"/>
      <w:r w:rsidRPr="00DF54AB">
        <w:rPr>
          <w:rFonts w:eastAsia="Times New Roman"/>
          <w:b/>
          <w:bCs/>
          <w:i/>
          <w:lang w:eastAsia="ru-RU"/>
        </w:rPr>
        <w:t>P</w:t>
      </w:r>
      <w:r w:rsidRPr="00DF54AB">
        <w:rPr>
          <w:rFonts w:eastAsia="Times New Roman"/>
          <w:b/>
          <w:bCs/>
          <w:i/>
          <w:vertAlign w:val="subscript"/>
          <w:lang w:eastAsia="ru-RU"/>
        </w:rPr>
        <w:t>n</w:t>
      </w:r>
      <w:proofErr w:type="spellEnd"/>
      <w:r w:rsidRPr="00DF54AB">
        <w:rPr>
          <w:rFonts w:eastAsia="Times New Roman"/>
          <w:b/>
          <w:bCs/>
          <w:lang w:eastAsia="ru-RU"/>
        </w:rPr>
        <w:t xml:space="preserve"> </w:t>
      </w:r>
      <w:r w:rsidRPr="00DF54AB">
        <w:rPr>
          <w:rFonts w:eastAsia="Times New Roman"/>
          <w:bCs/>
          <w:lang w:eastAsia="ru-RU"/>
        </w:rPr>
        <w:t xml:space="preserve">– оценка предоставления </w:t>
      </w:r>
      <w:r>
        <w:rPr>
          <w:rFonts w:eastAsia="Times New Roman"/>
          <w:bCs/>
          <w:lang w:eastAsia="ru-RU"/>
        </w:rPr>
        <w:t>У</w:t>
      </w:r>
      <w:r w:rsidRPr="00DF54AB">
        <w:rPr>
          <w:rFonts w:eastAsia="Times New Roman"/>
          <w:bCs/>
          <w:lang w:eastAsia="ru-RU"/>
        </w:rPr>
        <w:t>частниками извещений о начислениях;</w:t>
      </w:r>
    </w:p>
    <w:p w:rsidR="005048EC" w:rsidRPr="00DF54AB" w:rsidRDefault="00DF54AB" w:rsidP="00DF54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0"/>
        <w:jc w:val="both"/>
        <w:rPr>
          <w:rFonts w:eastAsia="Times New Roman"/>
          <w:bCs/>
          <w:lang w:eastAsia="ru-RU"/>
        </w:rPr>
      </w:pPr>
      <w:r w:rsidRPr="00DF54AB">
        <w:rPr>
          <w:rFonts w:eastAsia="Times New Roman"/>
          <w:b/>
          <w:bCs/>
          <w:i/>
          <w:lang w:eastAsia="ru-RU"/>
        </w:rPr>
        <w:t>n</w:t>
      </w:r>
      <w:r w:rsidRPr="00DF54AB">
        <w:rPr>
          <w:rFonts w:eastAsia="Times New Roman"/>
          <w:bCs/>
          <w:lang w:eastAsia="ru-RU"/>
        </w:rPr>
        <w:t xml:space="preserve"> – </w:t>
      </w:r>
      <w:r w:rsidR="005048EC" w:rsidRPr="005048EC">
        <w:rPr>
          <w:rFonts w:eastAsia="Times New Roman"/>
          <w:bCs/>
          <w:lang w:eastAsia="ru-RU"/>
        </w:rPr>
        <w:t>количество участников ГИС ГМП</w:t>
      </w:r>
    </w:p>
    <w:p w:rsidR="00DF54AB" w:rsidRPr="00DF54AB" w:rsidRDefault="00DF54AB" w:rsidP="00DF54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0"/>
        <w:jc w:val="both"/>
        <w:rPr>
          <w:rFonts w:eastAsia="Times New Roman"/>
          <w:bCs/>
          <w:lang w:eastAsia="ru-RU"/>
        </w:rPr>
      </w:pPr>
    </w:p>
    <w:p w:rsidR="00DF54AB" w:rsidRPr="00DF54AB" w:rsidRDefault="00DF54AB" w:rsidP="00DF54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0"/>
        <w:jc w:val="both"/>
        <w:rPr>
          <w:rFonts w:eastAsia="Times New Roman"/>
          <w:bCs/>
          <w:lang w:eastAsia="ru-RU"/>
        </w:rPr>
      </w:pPr>
      <w:r w:rsidRPr="00DF54AB">
        <w:rPr>
          <w:rFonts w:eastAsia="Times New Roman"/>
          <w:bCs/>
          <w:lang w:eastAsia="ru-RU"/>
        </w:rPr>
        <w:t xml:space="preserve">При этом </w:t>
      </w:r>
      <w:proofErr w:type="spellStart"/>
      <w:r w:rsidRPr="00DF54AB">
        <w:rPr>
          <w:rFonts w:eastAsia="Times New Roman"/>
          <w:bCs/>
          <w:i/>
          <w:lang w:eastAsia="ru-RU"/>
        </w:rPr>
        <w:t>P</w:t>
      </w:r>
      <w:r w:rsidRPr="00DF54AB">
        <w:rPr>
          <w:rFonts w:eastAsia="Times New Roman"/>
          <w:bCs/>
          <w:i/>
          <w:vertAlign w:val="subscript"/>
          <w:lang w:eastAsia="ru-RU"/>
        </w:rPr>
        <w:t>n</w:t>
      </w:r>
      <w:proofErr w:type="spellEnd"/>
      <w:r w:rsidRPr="00DF54AB">
        <w:rPr>
          <w:rFonts w:eastAsia="Times New Roman"/>
          <w:bCs/>
          <w:lang w:eastAsia="ru-RU"/>
        </w:rPr>
        <w:t xml:space="preserve"> вычисляется по следующей формуле:</w:t>
      </w:r>
    </w:p>
    <w:p w:rsidR="00DF54AB" w:rsidRPr="00DF54AB" w:rsidRDefault="00DF54AB" w:rsidP="00DF54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spacing w:before="240" w:after="240"/>
        <w:ind w:left="357" w:firstLine="0"/>
        <w:jc w:val="center"/>
        <w:rPr>
          <w:rFonts w:eastAsia="Times New Roman"/>
          <w:bCs/>
          <w:i/>
          <w:sz w:val="24"/>
          <w:szCs w:val="24"/>
          <w:lang w:eastAsia="ru-RU"/>
        </w:rPr>
      </w:pPr>
      <w:proofErr w:type="spellStart"/>
      <w:r w:rsidRPr="00DF54AB">
        <w:rPr>
          <w:rFonts w:eastAsia="Times New Roman"/>
          <w:bCs/>
          <w:i/>
          <w:sz w:val="32"/>
          <w:szCs w:val="24"/>
          <w:lang w:val="en-US" w:eastAsia="ru-RU"/>
        </w:rPr>
        <w:t>P</w:t>
      </w:r>
      <w:r w:rsidRPr="00DF54AB">
        <w:rPr>
          <w:rFonts w:eastAsia="Times New Roman"/>
          <w:bCs/>
          <w:i/>
          <w:sz w:val="32"/>
          <w:szCs w:val="24"/>
          <w:vertAlign w:val="subscript"/>
          <w:lang w:val="en-US" w:eastAsia="ru-RU"/>
        </w:rPr>
        <w:t>n</w:t>
      </w:r>
      <w:proofErr w:type="spellEnd"/>
      <w:r w:rsidRPr="00DF54AB">
        <w:rPr>
          <w:rFonts w:eastAsia="Times New Roman"/>
          <w:bCs/>
          <w:i/>
          <w:sz w:val="32"/>
          <w:szCs w:val="24"/>
          <w:vertAlign w:val="subscript"/>
          <w:lang w:eastAsia="ru-RU"/>
        </w:rPr>
        <w:t xml:space="preserve"> </w:t>
      </w:r>
      <w:r w:rsidRPr="00DF54AB">
        <w:rPr>
          <w:rFonts w:eastAsia="Times New Roman"/>
          <w:bCs/>
          <w:i/>
          <w:sz w:val="32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bCs/>
                <w:i/>
                <w:sz w:val="32"/>
                <w:szCs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32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2"/>
                    <w:szCs w:val="24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  <w:sz w:val="32"/>
                    <w:szCs w:val="24"/>
                    <w:lang w:eastAsia="ru-RU"/>
                  </w:rPr>
                  <m:t>n</m:t>
                </m:r>
              </m:sub>
            </m:sSub>
            <m:r>
              <w:rPr>
                <w:rFonts w:ascii="Cambria Math" w:eastAsia="Times New Roman" w:hAnsi="Cambria Math"/>
                <w:sz w:val="32"/>
                <w:szCs w:val="24"/>
                <w:lang w:eastAsia="ru-RU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32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2"/>
                    <w:szCs w:val="24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/>
                    <w:sz w:val="32"/>
                    <w:szCs w:val="24"/>
                    <w:lang w:eastAsia="ru-RU"/>
                  </w:rPr>
                  <m:t>n</m:t>
                </m:r>
              </m:sub>
            </m:sSub>
          </m:den>
        </m:f>
      </m:oMath>
    </w:p>
    <w:p w:rsidR="00DF54AB" w:rsidRPr="00DF54AB" w:rsidRDefault="00DF54AB" w:rsidP="00DF54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0"/>
        <w:jc w:val="both"/>
        <w:rPr>
          <w:rFonts w:eastAsia="Times New Roman"/>
          <w:bCs/>
          <w:lang w:eastAsia="ru-RU"/>
        </w:rPr>
      </w:pPr>
      <w:r w:rsidRPr="00DF54AB">
        <w:rPr>
          <w:rFonts w:eastAsia="Times New Roman"/>
          <w:bCs/>
          <w:lang w:eastAsia="ru-RU"/>
        </w:rPr>
        <w:t>где:</w:t>
      </w:r>
    </w:p>
    <w:p w:rsidR="00DF54AB" w:rsidRPr="00DF54AB" w:rsidRDefault="00DF54AB" w:rsidP="00DF54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0"/>
        <w:jc w:val="both"/>
        <w:rPr>
          <w:rFonts w:eastAsia="Times New Roman"/>
          <w:bCs/>
          <w:lang w:eastAsia="ru-RU"/>
        </w:rPr>
      </w:pPr>
      <w:r w:rsidRPr="00DF54AB">
        <w:rPr>
          <w:rFonts w:eastAsia="Times New Roman"/>
          <w:b/>
          <w:bCs/>
          <w:i/>
          <w:lang w:val="en-US" w:eastAsia="ru-RU"/>
        </w:rPr>
        <w:t>N</w:t>
      </w:r>
      <w:r w:rsidRPr="00DF54AB">
        <w:rPr>
          <w:rFonts w:eastAsia="Times New Roman"/>
          <w:b/>
          <w:bCs/>
          <w:lang w:eastAsia="ru-RU"/>
        </w:rPr>
        <w:t xml:space="preserve"> </w:t>
      </w:r>
      <w:r w:rsidRPr="00DF54AB">
        <w:rPr>
          <w:rFonts w:eastAsia="Times New Roman"/>
          <w:bCs/>
          <w:lang w:eastAsia="ru-RU"/>
        </w:rPr>
        <w:t xml:space="preserve">– </w:t>
      </w:r>
      <w:proofErr w:type="gramStart"/>
      <w:r>
        <w:rPr>
          <w:rFonts w:eastAsia="Times New Roman"/>
          <w:bCs/>
          <w:lang w:eastAsia="ru-RU"/>
        </w:rPr>
        <w:t>сумма</w:t>
      </w:r>
      <w:proofErr w:type="gramEnd"/>
      <w:r>
        <w:rPr>
          <w:rFonts w:eastAsia="Times New Roman"/>
          <w:bCs/>
          <w:lang w:eastAsia="ru-RU"/>
        </w:rPr>
        <w:t xml:space="preserve"> денежных средств</w:t>
      </w:r>
      <w:r w:rsidR="006F1885">
        <w:rPr>
          <w:rFonts w:eastAsia="Times New Roman"/>
          <w:bCs/>
          <w:lang w:eastAsia="ru-RU"/>
        </w:rPr>
        <w:t>,</w:t>
      </w:r>
      <w:r>
        <w:rPr>
          <w:rFonts w:eastAsia="Times New Roman"/>
          <w:bCs/>
          <w:lang w:eastAsia="ru-RU"/>
        </w:rPr>
        <w:t xml:space="preserve"> подлежащих </w:t>
      </w:r>
      <w:r w:rsidR="006A057E">
        <w:rPr>
          <w:rFonts w:eastAsia="Times New Roman"/>
          <w:bCs/>
          <w:lang w:eastAsia="ru-RU"/>
        </w:rPr>
        <w:t>у</w:t>
      </w:r>
      <w:r>
        <w:rPr>
          <w:rFonts w:eastAsia="Times New Roman"/>
          <w:bCs/>
          <w:lang w:eastAsia="ru-RU"/>
        </w:rPr>
        <w:t xml:space="preserve">плате, указанная </w:t>
      </w:r>
      <w:r w:rsidR="00950FBD">
        <w:rPr>
          <w:rFonts w:eastAsia="Times New Roman"/>
          <w:bCs/>
          <w:lang w:eastAsia="ru-RU"/>
        </w:rPr>
        <w:br/>
      </w:r>
      <w:r>
        <w:rPr>
          <w:rFonts w:eastAsia="Times New Roman"/>
          <w:bCs/>
          <w:lang w:eastAsia="ru-RU"/>
        </w:rPr>
        <w:t xml:space="preserve">в </w:t>
      </w:r>
      <w:r w:rsidRPr="00DF54AB">
        <w:rPr>
          <w:rFonts w:eastAsia="Times New Roman"/>
          <w:bCs/>
          <w:lang w:eastAsia="ru-RU"/>
        </w:rPr>
        <w:t>загруженных извещени</w:t>
      </w:r>
      <w:r>
        <w:rPr>
          <w:rFonts w:eastAsia="Times New Roman"/>
          <w:bCs/>
          <w:lang w:eastAsia="ru-RU"/>
        </w:rPr>
        <w:t>ях</w:t>
      </w:r>
      <w:r w:rsidRPr="00DF54AB">
        <w:rPr>
          <w:rFonts w:eastAsia="Times New Roman"/>
          <w:bCs/>
          <w:lang w:eastAsia="ru-RU"/>
        </w:rPr>
        <w:t xml:space="preserve"> о начислениях по </w:t>
      </w:r>
      <w:r w:rsidR="005A2055">
        <w:rPr>
          <w:rFonts w:eastAsia="Times New Roman"/>
          <w:bCs/>
          <w:lang w:eastAsia="ru-RU"/>
        </w:rPr>
        <w:t>у</w:t>
      </w:r>
      <w:r w:rsidRPr="00DF54AB">
        <w:rPr>
          <w:rFonts w:eastAsia="Times New Roman"/>
          <w:bCs/>
          <w:lang w:eastAsia="ru-RU"/>
        </w:rPr>
        <w:t xml:space="preserve">частнику </w:t>
      </w:r>
      <w:r>
        <w:rPr>
          <w:rFonts w:eastAsia="Times New Roman"/>
          <w:bCs/>
          <w:lang w:eastAsia="ru-RU"/>
        </w:rPr>
        <w:t>«</w:t>
      </w:r>
      <w:r w:rsidRPr="00DF54AB">
        <w:rPr>
          <w:rFonts w:eastAsia="Times New Roman"/>
          <w:bCs/>
          <w:i/>
          <w:lang w:eastAsia="ru-RU"/>
        </w:rPr>
        <w:t>n</w:t>
      </w:r>
      <w:r>
        <w:rPr>
          <w:rFonts w:eastAsia="Times New Roman"/>
          <w:bCs/>
          <w:i/>
          <w:lang w:eastAsia="ru-RU"/>
        </w:rPr>
        <w:t>»</w:t>
      </w:r>
      <w:r w:rsidRPr="00DF54AB">
        <w:rPr>
          <w:rFonts w:eastAsia="Times New Roman"/>
          <w:bCs/>
          <w:lang w:eastAsia="ru-RU"/>
        </w:rPr>
        <w:t xml:space="preserve"> за отчетный период;</w:t>
      </w:r>
    </w:p>
    <w:p w:rsidR="00F87240" w:rsidRDefault="00DF54AB" w:rsidP="00F8724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0"/>
        <w:jc w:val="both"/>
        <w:rPr>
          <w:rFonts w:eastAsia="Times New Roman"/>
          <w:bCs/>
          <w:lang w:eastAsia="ru-RU"/>
        </w:rPr>
      </w:pPr>
      <w:r w:rsidRPr="00DF54AB">
        <w:rPr>
          <w:rFonts w:eastAsia="Times New Roman"/>
          <w:b/>
          <w:bCs/>
          <w:i/>
          <w:lang w:val="en-US" w:eastAsia="ru-RU"/>
        </w:rPr>
        <w:t>F</w:t>
      </w:r>
      <w:r w:rsidRPr="00DF54AB">
        <w:rPr>
          <w:rFonts w:eastAsia="Times New Roman"/>
          <w:b/>
          <w:bCs/>
          <w:lang w:eastAsia="ru-RU"/>
        </w:rPr>
        <w:t xml:space="preserve"> </w:t>
      </w:r>
      <w:r w:rsidRPr="00DF54AB">
        <w:rPr>
          <w:rFonts w:eastAsia="Times New Roman"/>
          <w:bCs/>
          <w:lang w:eastAsia="ru-RU"/>
        </w:rPr>
        <w:t xml:space="preserve">– </w:t>
      </w:r>
      <w:proofErr w:type="gramStart"/>
      <w:r>
        <w:rPr>
          <w:rFonts w:eastAsia="Times New Roman"/>
          <w:bCs/>
          <w:lang w:eastAsia="ru-RU"/>
        </w:rPr>
        <w:t>сумма</w:t>
      </w:r>
      <w:proofErr w:type="gramEnd"/>
      <w:r>
        <w:rPr>
          <w:rFonts w:eastAsia="Times New Roman"/>
          <w:bCs/>
          <w:lang w:eastAsia="ru-RU"/>
        </w:rPr>
        <w:t xml:space="preserve"> </w:t>
      </w:r>
      <w:r w:rsidR="006A057E">
        <w:rPr>
          <w:rFonts w:eastAsia="Times New Roman"/>
          <w:bCs/>
          <w:lang w:eastAsia="ru-RU"/>
        </w:rPr>
        <w:t>у</w:t>
      </w:r>
      <w:r>
        <w:rPr>
          <w:rFonts w:eastAsia="Times New Roman"/>
          <w:bCs/>
          <w:lang w:eastAsia="ru-RU"/>
        </w:rPr>
        <w:t>плаченных денежных средств, указанная в</w:t>
      </w:r>
      <w:r w:rsidRPr="00DF54AB">
        <w:rPr>
          <w:rFonts w:eastAsia="Times New Roman"/>
          <w:bCs/>
          <w:lang w:eastAsia="ru-RU"/>
        </w:rPr>
        <w:t xml:space="preserve"> загруженных извещени</w:t>
      </w:r>
      <w:r>
        <w:rPr>
          <w:rFonts w:eastAsia="Times New Roman"/>
          <w:bCs/>
          <w:lang w:eastAsia="ru-RU"/>
        </w:rPr>
        <w:t>ях</w:t>
      </w:r>
      <w:r w:rsidRPr="00DF54AB">
        <w:rPr>
          <w:rFonts w:eastAsia="Times New Roman"/>
          <w:bCs/>
          <w:lang w:eastAsia="ru-RU"/>
        </w:rPr>
        <w:t xml:space="preserve"> о приеме к исполнению распоряжений в пользу участника </w:t>
      </w:r>
      <w:r w:rsidR="00CC7D8A" w:rsidRPr="00CC7D8A">
        <w:rPr>
          <w:rFonts w:eastAsia="Times New Roman"/>
          <w:bCs/>
          <w:lang w:eastAsia="ru-RU"/>
        </w:rPr>
        <w:t>«</w:t>
      </w:r>
      <w:r w:rsidRPr="00DF54AB">
        <w:rPr>
          <w:rFonts w:eastAsia="Times New Roman"/>
          <w:bCs/>
          <w:i/>
          <w:lang w:eastAsia="ru-RU"/>
        </w:rPr>
        <w:t>n</w:t>
      </w:r>
      <w:r w:rsidR="00CC7D8A" w:rsidRPr="00CC7D8A">
        <w:rPr>
          <w:rFonts w:eastAsia="Times New Roman"/>
          <w:bCs/>
          <w:lang w:eastAsia="ru-RU"/>
        </w:rPr>
        <w:t>»</w:t>
      </w:r>
      <w:r w:rsidRPr="00DF54AB">
        <w:rPr>
          <w:rFonts w:eastAsia="Times New Roman"/>
          <w:bCs/>
          <w:lang w:eastAsia="ru-RU"/>
        </w:rPr>
        <w:t xml:space="preserve"> </w:t>
      </w:r>
      <w:r w:rsidR="001247BA">
        <w:rPr>
          <w:rFonts w:eastAsia="Times New Roman"/>
          <w:bCs/>
          <w:lang w:eastAsia="ru-RU"/>
        </w:rPr>
        <w:br/>
      </w:r>
      <w:r w:rsidRPr="00DF54AB">
        <w:rPr>
          <w:rFonts w:eastAsia="Times New Roman"/>
          <w:bCs/>
          <w:lang w:eastAsia="ru-RU"/>
        </w:rPr>
        <w:t>за отчетный период</w:t>
      </w:r>
      <w:r w:rsidR="006F1885">
        <w:rPr>
          <w:rFonts w:eastAsia="Times New Roman"/>
          <w:bCs/>
          <w:lang w:eastAsia="ru-RU"/>
        </w:rPr>
        <w:t>, при этом:</w:t>
      </w:r>
    </w:p>
    <w:p w:rsidR="005048EC" w:rsidRPr="005048EC" w:rsidRDefault="005048EC" w:rsidP="005048E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709"/>
        <w:jc w:val="both"/>
        <w:rPr>
          <w:rFonts w:eastAsia="Times New Roman"/>
          <w:bCs/>
          <w:lang w:eastAsia="ru-RU"/>
        </w:rPr>
      </w:pPr>
      <w:r w:rsidRPr="005048EC">
        <w:rPr>
          <w:rFonts w:eastAsia="Times New Roman"/>
          <w:bCs/>
          <w:lang w:eastAsia="ru-RU"/>
        </w:rPr>
        <w:t xml:space="preserve">в </w:t>
      </w:r>
      <w:proofErr w:type="gramStart"/>
      <w:r w:rsidRPr="005048EC">
        <w:rPr>
          <w:rFonts w:eastAsia="Times New Roman"/>
          <w:bCs/>
          <w:lang w:eastAsia="ru-RU"/>
        </w:rPr>
        <w:t>случае</w:t>
      </w:r>
      <w:proofErr w:type="gramEnd"/>
      <w:r w:rsidRPr="005048EC">
        <w:rPr>
          <w:rFonts w:eastAsia="Times New Roman"/>
          <w:bCs/>
          <w:lang w:eastAsia="ru-RU"/>
        </w:rPr>
        <w:t xml:space="preserve"> если </w:t>
      </w:r>
      <w:r w:rsidRPr="00DF54AB">
        <w:rPr>
          <w:rFonts w:eastAsia="Times New Roman"/>
          <w:b/>
          <w:bCs/>
          <w:i/>
          <w:lang w:val="en-US" w:eastAsia="ru-RU"/>
        </w:rPr>
        <w:t>N</w:t>
      </w:r>
      <w:r w:rsidRPr="005048EC">
        <w:rPr>
          <w:rFonts w:eastAsia="Times New Roman"/>
          <w:bCs/>
          <w:lang w:eastAsia="ru-RU"/>
        </w:rPr>
        <w:t xml:space="preserve"> = 0 и </w:t>
      </w:r>
      <w:r w:rsidRPr="00DF54AB">
        <w:rPr>
          <w:rFonts w:eastAsia="Times New Roman"/>
          <w:b/>
          <w:bCs/>
          <w:i/>
          <w:lang w:val="en-US" w:eastAsia="ru-RU"/>
        </w:rPr>
        <w:t>F</w:t>
      </w:r>
      <w:r w:rsidRPr="005048EC">
        <w:rPr>
          <w:rFonts w:eastAsia="Times New Roman"/>
          <w:bCs/>
          <w:lang w:eastAsia="ru-RU"/>
        </w:rPr>
        <w:t xml:space="preserve"> =0, </w:t>
      </w:r>
      <w:r w:rsidRPr="005A2055">
        <w:rPr>
          <w:rFonts w:eastAsia="Times New Roman"/>
          <w:bCs/>
          <w:i/>
          <w:lang w:eastAsia="ru-RU"/>
        </w:rPr>
        <w:t>P</w:t>
      </w:r>
      <w:r w:rsidRPr="005048EC">
        <w:rPr>
          <w:rFonts w:eastAsia="Times New Roman"/>
          <w:bCs/>
          <w:lang w:eastAsia="ru-RU"/>
        </w:rPr>
        <w:t xml:space="preserve"> в рейтинге не учитывается</w:t>
      </w:r>
      <w:r>
        <w:rPr>
          <w:rFonts w:eastAsia="Times New Roman"/>
          <w:bCs/>
          <w:lang w:eastAsia="ru-RU"/>
        </w:rPr>
        <w:t>,</w:t>
      </w:r>
    </w:p>
    <w:p w:rsidR="00F87240" w:rsidRPr="00416396" w:rsidRDefault="006F1885" w:rsidP="005048E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709"/>
        <w:jc w:val="both"/>
        <w:rPr>
          <w:rFonts w:eastAsia="Times New Roman"/>
          <w:bCs/>
          <w:lang w:eastAsia="ru-RU"/>
        </w:rPr>
      </w:pPr>
      <w:r w:rsidRPr="00416396">
        <w:rPr>
          <w:rFonts w:eastAsia="Times New Roman"/>
          <w:bCs/>
          <w:lang w:eastAsia="ru-RU"/>
        </w:rPr>
        <w:t>в</w:t>
      </w:r>
      <w:r w:rsidR="00F87240" w:rsidRPr="00416396">
        <w:rPr>
          <w:rFonts w:eastAsia="Times New Roman"/>
          <w:bCs/>
          <w:lang w:eastAsia="ru-RU"/>
        </w:rPr>
        <w:t xml:space="preserve"> </w:t>
      </w:r>
      <w:proofErr w:type="gramStart"/>
      <w:r w:rsidR="00F87240" w:rsidRPr="00416396">
        <w:rPr>
          <w:rFonts w:eastAsia="Times New Roman"/>
          <w:bCs/>
          <w:lang w:eastAsia="ru-RU"/>
        </w:rPr>
        <w:t>случае</w:t>
      </w:r>
      <w:proofErr w:type="gramEnd"/>
      <w:r w:rsidR="00F87240" w:rsidRPr="00416396">
        <w:rPr>
          <w:rFonts w:eastAsia="Times New Roman"/>
          <w:bCs/>
          <w:lang w:eastAsia="ru-RU"/>
        </w:rPr>
        <w:t xml:space="preserve"> если </w:t>
      </w:r>
      <w:r w:rsidR="00F87240" w:rsidRPr="00416396">
        <w:rPr>
          <w:rFonts w:eastAsia="Times New Roman"/>
          <w:bCs/>
          <w:i/>
          <w:sz w:val="32"/>
          <w:szCs w:val="24"/>
          <w:lang w:val="en-US" w:eastAsia="ru-RU"/>
        </w:rPr>
        <w:t>F</w:t>
      </w:r>
      <w:r w:rsidR="00F87240" w:rsidRPr="00416396">
        <w:rPr>
          <w:rFonts w:eastAsia="Times New Roman"/>
          <w:bCs/>
          <w:i/>
          <w:sz w:val="32"/>
          <w:szCs w:val="24"/>
          <w:vertAlign w:val="subscript"/>
          <w:lang w:eastAsia="ru-RU"/>
        </w:rPr>
        <w:t xml:space="preserve"> </w:t>
      </w:r>
      <w:r w:rsidR="00F87240" w:rsidRPr="00416396">
        <w:rPr>
          <w:rFonts w:eastAsia="Times New Roman"/>
          <w:bCs/>
          <w:lang w:eastAsia="ru-RU"/>
        </w:rPr>
        <w:t xml:space="preserve">= 0, </w:t>
      </w:r>
      <w:r w:rsidR="00F87240" w:rsidRPr="00416396">
        <w:rPr>
          <w:rFonts w:eastAsia="Times New Roman"/>
          <w:bCs/>
          <w:i/>
          <w:sz w:val="32"/>
          <w:szCs w:val="24"/>
          <w:lang w:val="en-US" w:eastAsia="ru-RU"/>
        </w:rPr>
        <w:t>P</w:t>
      </w:r>
      <w:r w:rsidR="00F87240" w:rsidRPr="00416396">
        <w:rPr>
          <w:rFonts w:eastAsia="Times New Roman"/>
          <w:bCs/>
          <w:i/>
          <w:sz w:val="32"/>
          <w:szCs w:val="24"/>
          <w:vertAlign w:val="subscript"/>
          <w:lang w:eastAsia="ru-RU"/>
        </w:rPr>
        <w:t xml:space="preserve"> </w:t>
      </w:r>
      <w:r w:rsidR="00F87240" w:rsidRPr="00416396">
        <w:rPr>
          <w:rFonts w:eastAsia="Times New Roman"/>
          <w:bCs/>
          <w:lang w:eastAsia="ru-RU"/>
        </w:rPr>
        <w:t>присваивается значение «1</w:t>
      </w:r>
      <w:r w:rsidRPr="00416396">
        <w:rPr>
          <w:rFonts w:eastAsia="Times New Roman"/>
          <w:bCs/>
          <w:lang w:eastAsia="ru-RU"/>
        </w:rPr>
        <w:t>»,</w:t>
      </w:r>
    </w:p>
    <w:p w:rsidR="00DF54AB" w:rsidRDefault="006F1885" w:rsidP="00F8724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709"/>
        <w:jc w:val="both"/>
        <w:rPr>
          <w:rFonts w:eastAsia="Times New Roman"/>
          <w:bCs/>
          <w:lang w:eastAsia="ru-RU"/>
        </w:rPr>
      </w:pPr>
      <w:r w:rsidRPr="00416396">
        <w:rPr>
          <w:rFonts w:eastAsia="Times New Roman"/>
          <w:bCs/>
          <w:lang w:eastAsia="ru-RU"/>
        </w:rPr>
        <w:t>в</w:t>
      </w:r>
      <w:r w:rsidR="00F87240" w:rsidRPr="00416396">
        <w:rPr>
          <w:rFonts w:eastAsia="Times New Roman"/>
          <w:bCs/>
          <w:lang w:eastAsia="ru-RU"/>
        </w:rPr>
        <w:t xml:space="preserve"> </w:t>
      </w:r>
      <w:proofErr w:type="gramStart"/>
      <w:r w:rsidR="00DF54AB" w:rsidRPr="00416396">
        <w:rPr>
          <w:rFonts w:eastAsia="Times New Roman"/>
          <w:bCs/>
          <w:lang w:eastAsia="ru-RU"/>
        </w:rPr>
        <w:t>случае</w:t>
      </w:r>
      <w:proofErr w:type="gramEnd"/>
      <w:r w:rsidR="00DF54AB" w:rsidRPr="00416396">
        <w:rPr>
          <w:rFonts w:eastAsia="Times New Roman"/>
          <w:bCs/>
          <w:lang w:eastAsia="ru-RU"/>
        </w:rPr>
        <w:t xml:space="preserve"> если </w:t>
      </w:r>
      <w:r w:rsidR="00DF54AB" w:rsidRPr="00416396">
        <w:rPr>
          <w:rFonts w:eastAsia="Times New Roman"/>
          <w:bCs/>
          <w:i/>
          <w:sz w:val="32"/>
          <w:szCs w:val="24"/>
          <w:lang w:val="en-US" w:eastAsia="ru-RU"/>
        </w:rPr>
        <w:t>P</w:t>
      </w:r>
      <w:r w:rsidR="00DF54AB" w:rsidRPr="00416396">
        <w:rPr>
          <w:rFonts w:eastAsia="Times New Roman"/>
          <w:bCs/>
          <w:lang w:eastAsia="ru-RU"/>
        </w:rPr>
        <w:t xml:space="preserve"> &gt; 1, </w:t>
      </w:r>
      <w:r w:rsidR="00DF54AB" w:rsidRPr="00416396">
        <w:rPr>
          <w:rFonts w:eastAsia="Times New Roman"/>
          <w:bCs/>
          <w:i/>
          <w:sz w:val="32"/>
          <w:szCs w:val="24"/>
          <w:lang w:val="en-US" w:eastAsia="ru-RU"/>
        </w:rPr>
        <w:t>P</w:t>
      </w:r>
      <w:r w:rsidR="00DF54AB" w:rsidRPr="00416396">
        <w:rPr>
          <w:rFonts w:eastAsia="Times New Roman"/>
          <w:bCs/>
          <w:i/>
          <w:sz w:val="32"/>
          <w:szCs w:val="24"/>
          <w:vertAlign w:val="subscript"/>
          <w:lang w:eastAsia="ru-RU"/>
        </w:rPr>
        <w:t xml:space="preserve"> </w:t>
      </w:r>
      <w:r w:rsidR="00DF54AB" w:rsidRPr="00416396">
        <w:rPr>
          <w:rFonts w:eastAsia="Times New Roman"/>
          <w:bCs/>
          <w:lang w:eastAsia="ru-RU"/>
        </w:rPr>
        <w:t>присваивается значение «1</w:t>
      </w:r>
      <w:r w:rsidR="005048EC">
        <w:rPr>
          <w:rFonts w:eastAsia="Times New Roman"/>
          <w:bCs/>
          <w:lang w:eastAsia="ru-RU"/>
        </w:rPr>
        <w:t>».</w:t>
      </w:r>
    </w:p>
    <w:p w:rsidR="005048EC" w:rsidRPr="00DF54AB" w:rsidRDefault="005048EC" w:rsidP="00F8724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954"/>
        </w:tabs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Отчетный период – текущий календарный год</w:t>
      </w:r>
      <w:r w:rsidR="00794FA0">
        <w:rPr>
          <w:rFonts w:eastAsia="Times New Roman"/>
          <w:bCs/>
          <w:lang w:eastAsia="ru-RU"/>
        </w:rPr>
        <w:t>.</w:t>
      </w:r>
    </w:p>
    <w:p w:rsidR="00ED75C9" w:rsidRPr="00ED75C9" w:rsidRDefault="00ED75C9" w:rsidP="00ED75C9">
      <w:pPr>
        <w:ind w:firstLine="709"/>
        <w:jc w:val="both"/>
      </w:pPr>
      <w:r w:rsidRPr="00ED75C9">
        <w:t xml:space="preserve">Сводный индекс взаимодействия </w:t>
      </w:r>
      <w:r w:rsidR="003A7628">
        <w:t>учитывает</w:t>
      </w:r>
      <w:r>
        <w:t xml:space="preserve"> переч</w:t>
      </w:r>
      <w:r w:rsidR="003A7628">
        <w:t>е</w:t>
      </w:r>
      <w:r>
        <w:t>н</w:t>
      </w:r>
      <w:r w:rsidR="003A7628">
        <w:t>ь</w:t>
      </w:r>
      <w:r>
        <w:t xml:space="preserve"> </w:t>
      </w:r>
      <w:proofErr w:type="gramStart"/>
      <w:r>
        <w:t>доходов бюджетов бюджетной системы Российской Федерации подгруппы доходов группы</w:t>
      </w:r>
      <w:proofErr w:type="gramEnd"/>
      <w:r>
        <w:t xml:space="preserve"> 100 «Налоговые и неналоговые доходы»</w:t>
      </w:r>
      <w:r w:rsidRPr="00ED75C9">
        <w:t>:</w:t>
      </w:r>
    </w:p>
    <w:p w:rsidR="00ED75C9" w:rsidRPr="00ED75C9" w:rsidRDefault="00ED75C9" w:rsidP="00ED75C9">
      <w:pPr>
        <w:ind w:firstLine="709"/>
        <w:jc w:val="both"/>
      </w:pPr>
      <w:r w:rsidRPr="00ED75C9">
        <w:t xml:space="preserve">108 – </w:t>
      </w:r>
      <w:r>
        <w:t>государственная пошлина</w:t>
      </w:r>
      <w:r w:rsidRPr="00ED75C9">
        <w:t>;</w:t>
      </w:r>
    </w:p>
    <w:p w:rsidR="00ED75C9" w:rsidRPr="00ED75C9" w:rsidRDefault="00ED75C9" w:rsidP="00ED75C9">
      <w:pPr>
        <w:ind w:firstLine="709"/>
        <w:jc w:val="both"/>
      </w:pPr>
      <w:r>
        <w:t xml:space="preserve">111 – доходы от использования имущества, находящегося </w:t>
      </w:r>
      <w:r w:rsidR="00755733" w:rsidRPr="00755733">
        <w:br/>
      </w:r>
      <w:r>
        <w:t>в государственной и муниципальной собственности</w:t>
      </w:r>
      <w:r w:rsidRPr="00ED75C9">
        <w:t>;</w:t>
      </w:r>
    </w:p>
    <w:p w:rsidR="00ED75C9" w:rsidRPr="00ED75C9" w:rsidRDefault="00ED75C9" w:rsidP="00ED75C9">
      <w:pPr>
        <w:ind w:firstLine="709"/>
        <w:jc w:val="both"/>
      </w:pPr>
      <w:r>
        <w:t xml:space="preserve">112 – платежи при </w:t>
      </w:r>
      <w:proofErr w:type="gramStart"/>
      <w:r>
        <w:t>пользовании</w:t>
      </w:r>
      <w:proofErr w:type="gramEnd"/>
      <w:r>
        <w:t xml:space="preserve"> природными ресурсами</w:t>
      </w:r>
      <w:r w:rsidRPr="00ED75C9">
        <w:t>;</w:t>
      </w:r>
    </w:p>
    <w:p w:rsidR="00ED75C9" w:rsidRPr="00ED75C9" w:rsidRDefault="00ED75C9" w:rsidP="00ED75C9">
      <w:pPr>
        <w:ind w:firstLine="709"/>
        <w:jc w:val="both"/>
      </w:pPr>
      <w:r>
        <w:t>113</w:t>
      </w:r>
      <w:r w:rsidR="003C06C0">
        <w:t xml:space="preserve"> (01)</w:t>
      </w:r>
      <w:r>
        <w:t xml:space="preserve"> – доходы от оказания платных услуг (работ)</w:t>
      </w:r>
      <w:r w:rsidRPr="00ED75C9">
        <w:t>;</w:t>
      </w:r>
    </w:p>
    <w:p w:rsidR="00ED75C9" w:rsidRPr="00ED75C9" w:rsidRDefault="00ED75C9" w:rsidP="00ED75C9">
      <w:pPr>
        <w:ind w:firstLine="709"/>
        <w:jc w:val="both"/>
      </w:pPr>
      <w:r>
        <w:t>114 – доходы от продажи материальных и нематериальных активов</w:t>
      </w:r>
      <w:r w:rsidRPr="00ED75C9">
        <w:t>;</w:t>
      </w:r>
    </w:p>
    <w:p w:rsidR="00ED75C9" w:rsidRPr="00ED75C9" w:rsidRDefault="00ED75C9" w:rsidP="00ED75C9">
      <w:pPr>
        <w:ind w:firstLine="709"/>
        <w:jc w:val="both"/>
      </w:pPr>
      <w:r>
        <w:t>115 – административные платежи и сборы</w:t>
      </w:r>
      <w:r w:rsidRPr="00ED75C9">
        <w:t>;</w:t>
      </w:r>
    </w:p>
    <w:p w:rsidR="00ED75C9" w:rsidRPr="00ED75C9" w:rsidRDefault="00ED75C9" w:rsidP="00ED75C9">
      <w:pPr>
        <w:ind w:firstLine="709"/>
        <w:jc w:val="both"/>
      </w:pPr>
      <w:r>
        <w:t>116 – штрафы, санкции, возмещение ущерба</w:t>
      </w:r>
      <w:r w:rsidRPr="00ED75C9">
        <w:t>;</w:t>
      </w:r>
    </w:p>
    <w:p w:rsidR="00ED75C9" w:rsidRDefault="00ED75C9" w:rsidP="00ED75C9">
      <w:pPr>
        <w:ind w:firstLine="709"/>
        <w:jc w:val="both"/>
      </w:pPr>
      <w:r>
        <w:t>117 – прочие неналоговые доходы.</w:t>
      </w:r>
    </w:p>
    <w:p w:rsidR="00052A86" w:rsidRDefault="009D7ED1" w:rsidP="00052A86">
      <w:pPr>
        <w:jc w:val="both"/>
      </w:pPr>
      <w:r>
        <w:lastRenderedPageBreak/>
        <w:t>2</w:t>
      </w:r>
      <w:r w:rsidR="00052A86">
        <w:t>.</w:t>
      </w:r>
      <w:r w:rsidR="000E09EC">
        <w:t>2</w:t>
      </w:r>
      <w:r w:rsidR="00052A86">
        <w:t xml:space="preserve">. Рейтинг </w:t>
      </w:r>
      <w:r w:rsidR="003A7628" w:rsidRPr="003A7628">
        <w:t xml:space="preserve">субъектов Российской Федерации </w:t>
      </w:r>
      <w:r w:rsidR="00293203">
        <w:t xml:space="preserve">предоставляется Федеральным казначейством ежеквартально на заседаниях </w:t>
      </w:r>
      <w:r w:rsidR="00293203" w:rsidRPr="00293203">
        <w:t>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</w:t>
      </w:r>
      <w:r w:rsidR="00293203">
        <w:t>.</w:t>
      </w:r>
    </w:p>
    <w:sectPr w:rsidR="00052A86" w:rsidSect="000E09EC">
      <w:headerReference w:type="default" r:id="rId8"/>
      <w:pgSz w:w="11906" w:h="16838"/>
      <w:pgMar w:top="1276" w:right="1134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C8" w:rsidRDefault="004638C8" w:rsidP="00BB62C3">
      <w:pPr>
        <w:spacing w:line="240" w:lineRule="auto"/>
      </w:pPr>
      <w:r>
        <w:separator/>
      </w:r>
    </w:p>
  </w:endnote>
  <w:endnote w:type="continuationSeparator" w:id="0">
    <w:p w:rsidR="004638C8" w:rsidRDefault="004638C8" w:rsidP="00BB6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C8" w:rsidRDefault="004638C8" w:rsidP="00BB62C3">
      <w:pPr>
        <w:spacing w:line="240" w:lineRule="auto"/>
      </w:pPr>
      <w:r>
        <w:separator/>
      </w:r>
    </w:p>
  </w:footnote>
  <w:footnote w:type="continuationSeparator" w:id="0">
    <w:p w:rsidR="004638C8" w:rsidRDefault="004638C8" w:rsidP="00BB6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718796"/>
      <w:docPartObj>
        <w:docPartGallery w:val="Page Numbers (Top of Page)"/>
        <w:docPartUnique/>
      </w:docPartObj>
    </w:sdtPr>
    <w:sdtEndPr/>
    <w:sdtContent>
      <w:p w:rsidR="00BB62C3" w:rsidRDefault="00BB62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07F">
          <w:rPr>
            <w:noProof/>
          </w:rPr>
          <w:t>3</w:t>
        </w:r>
        <w:r>
          <w:fldChar w:fldCharType="end"/>
        </w:r>
      </w:p>
    </w:sdtContent>
  </w:sdt>
  <w:p w:rsidR="00BB62C3" w:rsidRDefault="00BB62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F2"/>
    <w:rsid w:val="00045D5C"/>
    <w:rsid w:val="00052A86"/>
    <w:rsid w:val="000A0EDA"/>
    <w:rsid w:val="000E09EC"/>
    <w:rsid w:val="000E4A52"/>
    <w:rsid w:val="000F42B8"/>
    <w:rsid w:val="001247BA"/>
    <w:rsid w:val="0014168C"/>
    <w:rsid w:val="001A357C"/>
    <w:rsid w:val="001A6294"/>
    <w:rsid w:val="002715B1"/>
    <w:rsid w:val="00293203"/>
    <w:rsid w:val="00301F91"/>
    <w:rsid w:val="00307DB5"/>
    <w:rsid w:val="00356E98"/>
    <w:rsid w:val="0038076F"/>
    <w:rsid w:val="003A7628"/>
    <w:rsid w:val="003B6E63"/>
    <w:rsid w:val="003C06C0"/>
    <w:rsid w:val="003F5AA6"/>
    <w:rsid w:val="0040028E"/>
    <w:rsid w:val="0040107F"/>
    <w:rsid w:val="00416396"/>
    <w:rsid w:val="004343FF"/>
    <w:rsid w:val="004638C8"/>
    <w:rsid w:val="004E6210"/>
    <w:rsid w:val="005048EC"/>
    <w:rsid w:val="0055491A"/>
    <w:rsid w:val="005570D1"/>
    <w:rsid w:val="005641C1"/>
    <w:rsid w:val="00585763"/>
    <w:rsid w:val="005A2055"/>
    <w:rsid w:val="005A6A1D"/>
    <w:rsid w:val="005C3BA7"/>
    <w:rsid w:val="00631A4D"/>
    <w:rsid w:val="00632EE6"/>
    <w:rsid w:val="00636039"/>
    <w:rsid w:val="00676F23"/>
    <w:rsid w:val="006A057E"/>
    <w:rsid w:val="006A3AE4"/>
    <w:rsid w:val="006F1885"/>
    <w:rsid w:val="006F7973"/>
    <w:rsid w:val="00755733"/>
    <w:rsid w:val="00794FA0"/>
    <w:rsid w:val="007958A2"/>
    <w:rsid w:val="007966B9"/>
    <w:rsid w:val="007E3203"/>
    <w:rsid w:val="00801254"/>
    <w:rsid w:val="008D490F"/>
    <w:rsid w:val="009041EA"/>
    <w:rsid w:val="00936AC6"/>
    <w:rsid w:val="00950FBD"/>
    <w:rsid w:val="00955D4B"/>
    <w:rsid w:val="009663D9"/>
    <w:rsid w:val="00982B44"/>
    <w:rsid w:val="00997BCF"/>
    <w:rsid w:val="009A0567"/>
    <w:rsid w:val="009A4617"/>
    <w:rsid w:val="009D7ED1"/>
    <w:rsid w:val="009F7E1D"/>
    <w:rsid w:val="00A0786C"/>
    <w:rsid w:val="00A65A57"/>
    <w:rsid w:val="00B11DD0"/>
    <w:rsid w:val="00B37549"/>
    <w:rsid w:val="00BB62C3"/>
    <w:rsid w:val="00C06C5B"/>
    <w:rsid w:val="00C41638"/>
    <w:rsid w:val="00C53944"/>
    <w:rsid w:val="00C668BF"/>
    <w:rsid w:val="00CC7D8A"/>
    <w:rsid w:val="00CD4036"/>
    <w:rsid w:val="00CE2F18"/>
    <w:rsid w:val="00D26649"/>
    <w:rsid w:val="00D43DA9"/>
    <w:rsid w:val="00D448F2"/>
    <w:rsid w:val="00DF54AB"/>
    <w:rsid w:val="00E17C70"/>
    <w:rsid w:val="00E36026"/>
    <w:rsid w:val="00E84F48"/>
    <w:rsid w:val="00EA3041"/>
    <w:rsid w:val="00EC6CD7"/>
    <w:rsid w:val="00ED4C42"/>
    <w:rsid w:val="00ED75C9"/>
    <w:rsid w:val="00EE1FF2"/>
    <w:rsid w:val="00EF1191"/>
    <w:rsid w:val="00F07BA9"/>
    <w:rsid w:val="00F2217F"/>
    <w:rsid w:val="00F73B9A"/>
    <w:rsid w:val="00F76EE5"/>
    <w:rsid w:val="00F85CCD"/>
    <w:rsid w:val="00F87240"/>
    <w:rsid w:val="00F9464D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448F2"/>
    <w:pPr>
      <w:spacing w:line="240" w:lineRule="auto"/>
      <w:ind w:firstLine="0"/>
    </w:pPr>
    <w:rPr>
      <w:rFonts w:eastAsia="Times New Roman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blStylePr w:type="firstRow">
      <w:pPr>
        <w:wordWrap/>
        <w:spacing w:beforeLines="0" w:beforeAutospacing="1" w:afterLines="0" w:afterAutospacing="1" w:line="240" w:lineRule="auto"/>
        <w:ind w:leftChars="0" w:left="0" w:rightChars="0" w:right="0" w:firstLineChars="0" w:firstLine="0"/>
        <w:jc w:val="center"/>
      </w:pPr>
      <w:rPr>
        <w:rFonts w:ascii="Times New Roman" w:hAnsi="Times New Roman" w:cs="Times New Roman" w:hint="default"/>
        <w:b/>
        <w:sz w:val="24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table" w:styleId="a3">
    <w:name w:val="Table Grid"/>
    <w:basedOn w:val="a1"/>
    <w:uiPriority w:val="59"/>
    <w:rsid w:val="00D448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E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1DD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62C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2C3"/>
  </w:style>
  <w:style w:type="paragraph" w:styleId="a9">
    <w:name w:val="footer"/>
    <w:basedOn w:val="a"/>
    <w:link w:val="aa"/>
    <w:uiPriority w:val="99"/>
    <w:unhideWhenUsed/>
    <w:rsid w:val="00BB62C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2C3"/>
  </w:style>
  <w:style w:type="paragraph" w:styleId="ab">
    <w:name w:val="No Spacing"/>
    <w:uiPriority w:val="1"/>
    <w:qFormat/>
    <w:rsid w:val="000A0EDA"/>
    <w:pPr>
      <w:spacing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4168C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4168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416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448F2"/>
    <w:pPr>
      <w:spacing w:line="240" w:lineRule="auto"/>
      <w:ind w:firstLine="0"/>
    </w:pPr>
    <w:rPr>
      <w:rFonts w:eastAsia="Times New Roman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blStylePr w:type="firstRow">
      <w:pPr>
        <w:wordWrap/>
        <w:spacing w:beforeLines="0" w:beforeAutospacing="1" w:afterLines="0" w:afterAutospacing="1" w:line="240" w:lineRule="auto"/>
        <w:ind w:leftChars="0" w:left="0" w:rightChars="0" w:right="0" w:firstLineChars="0" w:firstLine="0"/>
        <w:jc w:val="center"/>
      </w:pPr>
      <w:rPr>
        <w:rFonts w:ascii="Times New Roman" w:hAnsi="Times New Roman" w:cs="Times New Roman" w:hint="default"/>
        <w:b/>
        <w:sz w:val="24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table" w:styleId="a3">
    <w:name w:val="Table Grid"/>
    <w:basedOn w:val="a1"/>
    <w:uiPriority w:val="59"/>
    <w:rsid w:val="00D448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E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1DD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62C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2C3"/>
  </w:style>
  <w:style w:type="paragraph" w:styleId="a9">
    <w:name w:val="footer"/>
    <w:basedOn w:val="a"/>
    <w:link w:val="aa"/>
    <w:uiPriority w:val="99"/>
    <w:unhideWhenUsed/>
    <w:rsid w:val="00BB62C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2C3"/>
  </w:style>
  <w:style w:type="paragraph" w:styleId="ab">
    <w:name w:val="No Spacing"/>
    <w:uiPriority w:val="1"/>
    <w:qFormat/>
    <w:rsid w:val="000A0EDA"/>
    <w:pPr>
      <w:spacing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4168C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4168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41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09CC-7E9D-4C52-8EFB-C7AED466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Алексей Валерьевич</dc:creator>
  <cp:lastModifiedBy>Roshenko_AA</cp:lastModifiedBy>
  <cp:revision>2</cp:revision>
  <cp:lastPrinted>2017-12-14T11:13:00Z</cp:lastPrinted>
  <dcterms:created xsi:type="dcterms:W3CDTF">2018-02-06T06:46:00Z</dcterms:created>
  <dcterms:modified xsi:type="dcterms:W3CDTF">2018-02-06T06:46:00Z</dcterms:modified>
</cp:coreProperties>
</file>