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5D1A36">
        <w:trPr>
          <w:trHeight w:val="3402"/>
        </w:trPr>
        <w:tc>
          <w:tcPr>
            <w:tcW w:w="10421" w:type="dxa"/>
            <w:vAlign w:val="center"/>
          </w:tcPr>
          <w:p w:rsidR="005D1A36" w:rsidRDefault="00000000">
            <w:pPr>
              <w:jc w:val="center"/>
              <w:rPr>
                <w:sz w:val="16"/>
                <w:szCs w:val="16"/>
              </w:rPr>
            </w:pPr>
            <w:r>
              <w:rPr>
                <w:noProof/>
              </w:rPr>
              <w:drawing>
                <wp:inline distT="0" distB="0" distL="0" distR="0">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742950" cy="847725"/>
                          </a:xfrm>
                          <a:prstGeom prst="rect">
                            <a:avLst/>
                          </a:prstGeom>
                          <a:solidFill>
                            <a:srgbClr val="000080"/>
                          </a:solidFill>
                          <a:ln>
                            <a:noFill/>
                            <a:miter/>
                          </a:ln>
                        </pic:spPr>
                      </pic:pic>
                    </a:graphicData>
                  </a:graphic>
                </wp:inline>
              </w:drawing>
            </w:r>
          </w:p>
          <w:p w:rsidR="005D1A36" w:rsidRDefault="005D1A36">
            <w:pPr>
              <w:spacing w:line="360" w:lineRule="auto"/>
              <w:jc w:val="center"/>
              <w:rPr>
                <w:color w:val="000080"/>
                <w:sz w:val="24"/>
                <w:szCs w:val="24"/>
              </w:rPr>
            </w:pPr>
          </w:p>
          <w:p w:rsidR="005D1A36" w:rsidRDefault="00000000">
            <w:pPr>
              <w:pStyle w:val="2"/>
              <w:spacing w:before="0" w:after="0" w:line="360" w:lineRule="auto"/>
              <w:jc w:val="center"/>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 СМОЛЕНСКОЙ ОБЛАСТИ</w:t>
            </w:r>
          </w:p>
          <w:p w:rsidR="005D1A36" w:rsidRDefault="00000000">
            <w:pPr>
              <w:pStyle w:val="2"/>
              <w:spacing w:before="0"/>
              <w:jc w:val="center"/>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Р А С П О Р Я Ж Е Н И Е</w:t>
            </w:r>
          </w:p>
          <w:p w:rsidR="005D1A36" w:rsidRDefault="005D1A36">
            <w:pPr>
              <w:jc w:val="center"/>
              <w:rPr>
                <w:b/>
                <w:bCs/>
                <w:color w:val="000080"/>
                <w:sz w:val="16"/>
                <w:szCs w:val="16"/>
              </w:rPr>
            </w:pPr>
          </w:p>
          <w:p w:rsidR="00122864" w:rsidRPr="00122864" w:rsidRDefault="00122864" w:rsidP="00122864">
            <w:pPr>
              <w:rPr>
                <w:color w:val="000080"/>
                <w:sz w:val="24"/>
                <w:szCs w:val="24"/>
              </w:rPr>
            </w:pPr>
            <w:r w:rsidRPr="00122864">
              <w:rPr>
                <w:color w:val="000080"/>
                <w:sz w:val="24"/>
                <w:szCs w:val="24"/>
              </w:rPr>
              <w:t xml:space="preserve">от </w:t>
            </w:r>
            <w:bookmarkStart w:id="0" w:name="DATEDOC"/>
            <w:bookmarkEnd w:id="0"/>
            <w:r w:rsidRPr="00122864">
              <w:rPr>
                <w:color w:val="000080"/>
                <w:sz w:val="24"/>
                <w:szCs w:val="24"/>
              </w:rPr>
              <w:t xml:space="preserve"> 13.03.2026  № </w:t>
            </w:r>
            <w:bookmarkStart w:id="1" w:name="NUM"/>
            <w:bookmarkEnd w:id="1"/>
            <w:r w:rsidRPr="00122864">
              <w:rPr>
                <w:color w:val="000080"/>
                <w:sz w:val="24"/>
                <w:szCs w:val="24"/>
              </w:rPr>
              <w:t>24</w:t>
            </w:r>
            <w:r>
              <w:rPr>
                <w:color w:val="000080"/>
                <w:sz w:val="24"/>
                <w:szCs w:val="24"/>
              </w:rPr>
              <w:t>5</w:t>
            </w:r>
            <w:r w:rsidRPr="00122864">
              <w:rPr>
                <w:color w:val="000080"/>
                <w:sz w:val="24"/>
                <w:szCs w:val="24"/>
              </w:rPr>
              <w:t>-рп</w:t>
            </w:r>
          </w:p>
          <w:p w:rsidR="005D1A36" w:rsidRDefault="005D1A36">
            <w:pPr>
              <w:jc w:val="center"/>
              <w:rPr>
                <w:sz w:val="28"/>
                <w:szCs w:val="28"/>
                <w:lang w:val="en-US"/>
              </w:rPr>
            </w:pPr>
          </w:p>
        </w:tc>
      </w:tr>
    </w:tbl>
    <w:p w:rsidR="005D1A36" w:rsidRDefault="005D1A36">
      <w:pPr>
        <w:tabs>
          <w:tab w:val="left" w:pos="6930"/>
        </w:tabs>
        <w:rPr>
          <w:sz w:val="28"/>
          <w:szCs w:val="28"/>
        </w:rPr>
      </w:pPr>
    </w:p>
    <w:p w:rsidR="005D1A36" w:rsidRDefault="005D1A36">
      <w:pPr>
        <w:tabs>
          <w:tab w:val="left" w:pos="6930"/>
        </w:tabs>
        <w:rPr>
          <w:sz w:val="28"/>
          <w:szCs w:val="28"/>
        </w:rPr>
      </w:pPr>
    </w:p>
    <w:p w:rsidR="005D1A36" w:rsidRDefault="00000000">
      <w:pPr>
        <w:tabs>
          <w:tab w:val="left" w:pos="2243"/>
          <w:tab w:val="left" w:pos="6930"/>
        </w:tabs>
        <w:rPr>
          <w:sz w:val="28"/>
          <w:szCs w:val="28"/>
        </w:rPr>
      </w:pPr>
      <w:r>
        <w:rPr>
          <w:sz w:val="28"/>
          <w:szCs w:val="28"/>
        </w:rPr>
        <w:tab/>
      </w:r>
    </w:p>
    <w:p w:rsidR="005D1A36" w:rsidRDefault="00000000">
      <w:pPr>
        <w:tabs>
          <w:tab w:val="left" w:pos="4536"/>
        </w:tabs>
        <w:jc w:val="both"/>
        <w:rPr>
          <w:sz w:val="28"/>
          <w:szCs w:val="28"/>
        </w:rPr>
      </w:pPr>
      <w:r>
        <w:rPr>
          <w:sz w:val="28"/>
          <w:szCs w:val="28"/>
        </w:rPr>
        <w:t xml:space="preserve">О даче согласия на предоставление </w:t>
      </w:r>
    </w:p>
    <w:p w:rsidR="005D1A36" w:rsidRDefault="00000000">
      <w:pPr>
        <w:jc w:val="both"/>
        <w:rPr>
          <w:sz w:val="28"/>
          <w:szCs w:val="28"/>
        </w:rPr>
      </w:pPr>
      <w:r>
        <w:rPr>
          <w:sz w:val="28"/>
          <w:szCs w:val="28"/>
        </w:rPr>
        <w:t xml:space="preserve">имущества, находящегося в </w:t>
      </w:r>
    </w:p>
    <w:p w:rsidR="005D1A36" w:rsidRDefault="00000000">
      <w:pPr>
        <w:jc w:val="both"/>
        <w:rPr>
          <w:sz w:val="28"/>
          <w:szCs w:val="28"/>
        </w:rPr>
      </w:pPr>
      <w:r>
        <w:rPr>
          <w:sz w:val="28"/>
          <w:szCs w:val="28"/>
        </w:rPr>
        <w:t xml:space="preserve">государственной собственности </w:t>
      </w:r>
    </w:p>
    <w:p w:rsidR="005D1A36" w:rsidRDefault="00000000">
      <w:pPr>
        <w:jc w:val="both"/>
        <w:rPr>
          <w:sz w:val="28"/>
          <w:szCs w:val="28"/>
        </w:rPr>
      </w:pPr>
      <w:r>
        <w:rPr>
          <w:sz w:val="28"/>
          <w:szCs w:val="28"/>
        </w:rPr>
        <w:t xml:space="preserve">Смоленской области, </w:t>
      </w:r>
    </w:p>
    <w:p w:rsidR="005D1A36" w:rsidRDefault="00000000">
      <w:pPr>
        <w:tabs>
          <w:tab w:val="left" w:pos="4536"/>
        </w:tabs>
        <w:jc w:val="both"/>
        <w:rPr>
          <w:sz w:val="28"/>
          <w:szCs w:val="28"/>
        </w:rPr>
      </w:pPr>
      <w:r>
        <w:rPr>
          <w:sz w:val="28"/>
          <w:szCs w:val="28"/>
        </w:rPr>
        <w:t>в безвозмездное пользование</w:t>
      </w:r>
    </w:p>
    <w:p w:rsidR="005D1A36" w:rsidRDefault="005D1A36">
      <w:pPr>
        <w:rPr>
          <w:sz w:val="28"/>
          <w:szCs w:val="28"/>
        </w:rPr>
      </w:pPr>
    </w:p>
    <w:p w:rsidR="005D1A36" w:rsidRDefault="005D1A36">
      <w:pPr>
        <w:rPr>
          <w:sz w:val="28"/>
          <w:szCs w:val="28"/>
        </w:rPr>
      </w:pPr>
    </w:p>
    <w:p w:rsidR="005D1A36" w:rsidRDefault="00000000">
      <w:pPr>
        <w:ind w:firstLine="700"/>
        <w:jc w:val="both"/>
        <w:rPr>
          <w:sz w:val="28"/>
          <w:szCs w:val="28"/>
        </w:rPr>
      </w:pPr>
      <w:r>
        <w:rPr>
          <w:sz w:val="28"/>
          <w:szCs w:val="28"/>
        </w:rPr>
        <w:t>В соответствии с областным законом «О порядке управления и распоряжения государственной собственностью Смоленской области», Порядком предоставления имущества, находящегося в государственной собственности Смоленской области, в безвозмездное пользование, утвержденным постановлением Администрации Смоленской области от 26.01.2009 № 27:</w:t>
      </w:r>
    </w:p>
    <w:p w:rsidR="005D1A36" w:rsidRDefault="005D1A36">
      <w:pPr>
        <w:ind w:firstLine="700"/>
        <w:jc w:val="both"/>
        <w:rPr>
          <w:sz w:val="28"/>
          <w:szCs w:val="28"/>
        </w:rPr>
      </w:pPr>
    </w:p>
    <w:p w:rsidR="005D1A36" w:rsidRDefault="00000000">
      <w:pPr>
        <w:ind w:firstLine="700"/>
        <w:jc w:val="both"/>
        <w:rPr>
          <w:sz w:val="28"/>
          <w:szCs w:val="28"/>
        </w:rPr>
      </w:pPr>
      <w:r>
        <w:rPr>
          <w:sz w:val="28"/>
          <w:szCs w:val="28"/>
        </w:rPr>
        <w:t xml:space="preserve">1. Дать согласие областному государственному бюджетному учреждению здравоохранения «Клиническая больница № 1» (далее – учреждение) на предоставление имущества, находящегося в государственной собственности Смоленской области, – нежилых помещений № 34, 45, 49, 50, 92 – 97 (согласно техническому паспорту) на первом этаже, № 61 – 63 (согласно техническому паспорту) на четвертом этаже общей площадью 186,45 кв. метра в здании родильного дома, расположенном по адресу: Российская Федерация, Смоленская область, г. Смоленск, ул. Кирова, д. 47 (далее – имущество), в безвозмездное пользование сроком на пять лет федеральному государственному бюджетному образовательному учреждению высшего образования «Смоленский государственный медицинский университет» Министерства здравоохранения Российской Федерации без возложения на него обязанности по оплате расходов по содержанию имущества в течение всего срока действия договора безвозмездного пользования имуществом.  </w:t>
      </w:r>
    </w:p>
    <w:p w:rsidR="005D1A36" w:rsidRDefault="00000000">
      <w:pPr>
        <w:ind w:firstLine="700"/>
        <w:jc w:val="both"/>
        <w:rPr>
          <w:sz w:val="28"/>
          <w:szCs w:val="28"/>
        </w:rPr>
      </w:pPr>
      <w:r>
        <w:rPr>
          <w:sz w:val="28"/>
          <w:szCs w:val="28"/>
        </w:rPr>
        <w:t xml:space="preserve">2. Учреждению (М.В. Минченкова) осуществить необходимые юридические действия по предоставлению имущества в безвозмездное пользование федеральному государственному бюджетному образовательному учреждению высшего </w:t>
      </w:r>
      <w:r>
        <w:rPr>
          <w:sz w:val="28"/>
          <w:szCs w:val="28"/>
        </w:rPr>
        <w:br/>
      </w:r>
      <w:r>
        <w:rPr>
          <w:sz w:val="28"/>
          <w:szCs w:val="28"/>
        </w:rPr>
        <w:br/>
      </w:r>
      <w:r>
        <w:rPr>
          <w:sz w:val="28"/>
          <w:szCs w:val="28"/>
        </w:rPr>
        <w:br/>
      </w:r>
      <w:r>
        <w:rPr>
          <w:sz w:val="28"/>
          <w:szCs w:val="28"/>
        </w:rPr>
        <w:br/>
      </w:r>
      <w:r>
        <w:rPr>
          <w:sz w:val="28"/>
          <w:szCs w:val="28"/>
        </w:rPr>
        <w:lastRenderedPageBreak/>
        <w:t>образования «Смоленский государственный медицинский университет» Министерства здравоохранения Российской Федерации.</w:t>
      </w:r>
    </w:p>
    <w:p w:rsidR="005D1A36" w:rsidRDefault="005D1A36">
      <w:pPr>
        <w:ind w:firstLine="700"/>
        <w:jc w:val="both"/>
        <w:rPr>
          <w:sz w:val="28"/>
          <w:szCs w:val="28"/>
        </w:rPr>
      </w:pPr>
    </w:p>
    <w:p w:rsidR="005D1A36" w:rsidRDefault="005D1A36">
      <w:pPr>
        <w:ind w:firstLine="700"/>
        <w:jc w:val="both"/>
        <w:rPr>
          <w:sz w:val="28"/>
          <w:szCs w:val="28"/>
        </w:rPr>
      </w:pPr>
    </w:p>
    <w:p w:rsidR="005D1A36" w:rsidRDefault="00000000">
      <w:pPr>
        <w:tabs>
          <w:tab w:val="left" w:pos="10205"/>
        </w:tabs>
        <w:jc w:val="both"/>
        <w:rPr>
          <w:b/>
          <w:bCs/>
          <w:sz w:val="28"/>
          <w:szCs w:val="28"/>
        </w:rPr>
      </w:pPr>
      <w:r>
        <w:rPr>
          <w:sz w:val="28"/>
          <w:szCs w:val="28"/>
        </w:rPr>
        <w:t>Губернатор</w:t>
      </w:r>
      <w:r>
        <w:rPr>
          <w:sz w:val="28"/>
          <w:szCs w:val="28"/>
        </w:rPr>
        <w:br/>
        <w:t xml:space="preserve">Смоленской области                                                       </w:t>
      </w:r>
      <w:r>
        <w:rPr>
          <w:sz w:val="16"/>
          <w:szCs w:val="16"/>
        </w:rPr>
        <w:t xml:space="preserve">                                                       </w:t>
      </w:r>
      <w:r>
        <w:rPr>
          <w:b/>
          <w:bCs/>
          <w:sz w:val="16"/>
          <w:szCs w:val="16"/>
        </w:rPr>
        <w:t xml:space="preserve">  </w:t>
      </w:r>
      <w:r>
        <w:rPr>
          <w:b/>
          <w:bCs/>
          <w:sz w:val="28"/>
          <w:szCs w:val="28"/>
        </w:rPr>
        <w:t>В.Н. Анохин</w:t>
      </w:r>
    </w:p>
    <w:sectPr w:rsidR="005D1A36">
      <w:headerReference w:type="default" r:id="rId7"/>
      <w:footerReference w:type="first" r:id="rId8"/>
      <w:pgSz w:w="11906" w:h="16838"/>
      <w:pgMar w:top="567" w:right="567" w:bottom="567"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89C" w:rsidRDefault="000B389C">
      <w:r>
        <w:separator/>
      </w:r>
    </w:p>
  </w:endnote>
  <w:endnote w:type="continuationSeparator" w:id="0">
    <w:p w:rsidR="000B389C" w:rsidRDefault="000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A36" w:rsidRDefault="005D1A36">
    <w:pPr>
      <w:pStyle w:val="af8"/>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89C" w:rsidRDefault="000B389C">
      <w:r>
        <w:separator/>
      </w:r>
    </w:p>
  </w:footnote>
  <w:footnote w:type="continuationSeparator" w:id="0">
    <w:p w:rsidR="000B389C" w:rsidRDefault="000B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16439"/>
      <w:docPartObj>
        <w:docPartGallery w:val="Page Numbers (Top of Page)"/>
        <w:docPartUnique/>
      </w:docPartObj>
    </w:sdtPr>
    <w:sdtContent>
      <w:p w:rsidR="005D1A36" w:rsidRDefault="00000000">
        <w:pPr>
          <w:pStyle w:val="af5"/>
          <w:jc w:val="center"/>
        </w:pPr>
        <w:r>
          <w:fldChar w:fldCharType="begin"/>
        </w:r>
        <w:r>
          <w:instrText>PAGE   \* MERGEFORMAT</w:instrText>
        </w:r>
        <w:r>
          <w:fldChar w:fldCharType="separate"/>
        </w:r>
        <w:r>
          <w:t>2</w:t>
        </w:r>
        <w:r>
          <w:fldChar w:fldCharType="end"/>
        </w:r>
      </w:p>
    </w:sdtContent>
  </w:sdt>
  <w:p w:rsidR="005D1A36" w:rsidRDefault="005D1A36">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A36"/>
    <w:rsid w:val="000B389C"/>
    <w:rsid w:val="00122864"/>
    <w:rsid w:val="005D1A36"/>
    <w:rsid w:val="00EE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4536"/>
  <w15:docId w15:val="{61045363-74AD-4100-B763-9FF63DEA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9"/>
    <w:qFormat/>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f5">
    <w:name w:val="header"/>
    <w:basedOn w:val="a"/>
    <w:link w:val="af6"/>
    <w:uiPriority w:val="99"/>
    <w:pPr>
      <w:tabs>
        <w:tab w:val="center" w:pos="4677"/>
        <w:tab w:val="right" w:pos="9355"/>
      </w:tabs>
    </w:pPr>
  </w:style>
  <w:style w:type="character" w:customStyle="1" w:styleId="af6">
    <w:name w:val="Верхний колонтитул Знак"/>
    <w:basedOn w:val="a0"/>
    <w:link w:val="af5"/>
    <w:uiPriority w:val="99"/>
    <w:rPr>
      <w:sz w:val="20"/>
      <w:szCs w:val="20"/>
    </w:rPr>
  </w:style>
  <w:style w:type="character" w:styleId="af7">
    <w:name w:val="page number"/>
    <w:basedOn w:val="a0"/>
    <w:uiPriority w:val="99"/>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basedOn w:val="a0"/>
    <w:link w:val="af8"/>
    <w:uiPriority w:val="99"/>
    <w:semiHidden/>
    <w:rPr>
      <w:sz w:val="20"/>
      <w:szCs w:val="20"/>
    </w:rPr>
  </w:style>
  <w:style w:type="table" w:styleId="afa">
    <w:name w:val="Table Grid"/>
    <w:basedOn w:val="a1"/>
    <w:uiPriority w:val="9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styleId="afd">
    <w:name w:val="Body Text"/>
    <w:basedOn w:val="a"/>
    <w:link w:val="afe"/>
    <w:uiPriority w:val="99"/>
    <w:unhideWhenUsed/>
    <w:pPr>
      <w:widowControl w:val="0"/>
      <w:spacing w:line="252" w:lineRule="auto"/>
      <w:ind w:right="5200"/>
      <w:jc w:val="both"/>
    </w:pPr>
    <w:rPr>
      <w:rFonts w:ascii="Calibri" w:hAnsi="Calibri" w:cs="Calibri"/>
      <w:sz w:val="26"/>
      <w:szCs w:val="26"/>
    </w:rPr>
  </w:style>
  <w:style w:type="character" w:customStyle="1" w:styleId="afe">
    <w:name w:val="Основной текст Знак"/>
    <w:basedOn w:val="a0"/>
    <w:link w:val="afd"/>
    <w:uiPriority w:val="99"/>
    <w:rPr>
      <w:rFonts w:ascii="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Титенкова Дарья Владимировна</cp:lastModifiedBy>
  <cp:revision>12</cp:revision>
  <dcterms:created xsi:type="dcterms:W3CDTF">2023-10-11T09:20:00Z</dcterms:created>
  <dcterms:modified xsi:type="dcterms:W3CDTF">2026-03-13T09:27:00Z</dcterms:modified>
</cp:coreProperties>
</file>